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Date: </w:t>
        <w:tab/>
        <w:tab/>
        <w:t>November 27, 2000</w:t>
      </w:r>
    </w:p>
    <w:p>
      <w:pPr>
        <w:pStyle w:val="Normal"/>
        <w:rPr/>
      </w:pPr>
      <w:r>
        <w:rPr/>
      </w:r>
    </w:p>
    <w:p>
      <w:pPr>
        <w:pStyle w:val="Normal"/>
        <w:rPr/>
      </w:pPr>
      <w:r>
        <w:rPr/>
        <w:t>To:</w:t>
        <w:tab/>
        <w:tab/>
        <w:t>RUG Members List</w:t>
      </w:r>
    </w:p>
    <w:p>
      <w:pPr>
        <w:pStyle w:val="Normal"/>
        <w:rPr/>
      </w:pPr>
      <w:r>
        <w:rPr/>
      </w:r>
    </w:p>
    <w:p>
      <w:pPr>
        <w:pStyle w:val="Normal"/>
        <w:rPr/>
      </w:pPr>
      <w:r>
        <w:rPr/>
        <w:t>From:</w:t>
        <w:tab/>
        <w:tab/>
        <w:t>John Meyer, Chairman – Retail User’s Group</w:t>
      </w:r>
    </w:p>
    <w:p>
      <w:pPr>
        <w:pStyle w:val="Normal"/>
        <w:rPr/>
      </w:pPr>
      <w:r>
        <w:rPr/>
      </w:r>
    </w:p>
    <w:p>
      <w:pPr>
        <w:pStyle w:val="Normal"/>
        <w:rPr/>
      </w:pPr>
      <w:r>
        <w:rPr/>
        <w:t>RE:</w:t>
        <w:tab/>
        <w:tab/>
        <w:t>Proposed Solutions to Remaining Issues</w:t>
      </w:r>
    </w:p>
    <w:p>
      <w:pPr>
        <w:pStyle w:val="Normal"/>
        <w:rPr/>
      </w:pPr>
      <w:r>
        <w:rPr/>
      </w:r>
    </w:p>
    <w:p>
      <w:pPr>
        <w:pStyle w:val="Normal"/>
        <w:rPr/>
      </w:pPr>
      <w:r>
        <w:rPr/>
        <w:t xml:space="preserve">As I stated at the last RUG meeting on November 16, 2000, I am sending out my proposed solutions to the remaining issues to try and reach consensus within our group to move forward with the January, 2001 Supplemental Protocol Filing with the PUCT.  Manuel Munoz has sent some suggestions on local congestion issues also.  </w:t>
      </w:r>
    </w:p>
    <w:p>
      <w:pPr>
        <w:pStyle w:val="Normal"/>
        <w:rPr/>
      </w:pPr>
      <w:r>
        <w:rPr/>
      </w:r>
    </w:p>
    <w:p>
      <w:pPr>
        <w:pStyle w:val="Normal"/>
        <w:rPr/>
      </w:pPr>
      <w:r>
        <w:rPr/>
        <w:t>The issues I wish to address and a brief description of the reasoning for each is described by the following list:</w:t>
      </w:r>
    </w:p>
    <w:p>
      <w:pPr>
        <w:pStyle w:val="Normal"/>
        <w:rPr/>
      </w:pPr>
      <w:r>
        <w:rPr/>
      </w:r>
    </w:p>
    <w:p>
      <w:pPr>
        <w:pStyle w:val="Normal"/>
        <w:numPr>
          <w:ilvl w:val="0"/>
          <w:numId w:val="3"/>
        </w:numPr>
        <w:rPr>
          <w:b/>
          <w:i/>
          <w:i/>
        </w:rPr>
      </w:pPr>
      <w:r>
        <w:rPr>
          <w:b/>
          <w:i/>
        </w:rPr>
        <w:t>Remove Uninstructed Deviation Pricing for some Renewables</w:t>
      </w:r>
    </w:p>
    <w:p>
      <w:pPr>
        <w:pStyle w:val="Normal"/>
        <w:ind w:start="360" w:end="0"/>
        <w:rPr/>
      </w:pPr>
      <w:r>
        <w:rPr/>
        <w:t>The proposed solution removes uncontrollable renewable resources from uninstructed deviation pricing as long as a reasonable attempt at scheduling has been made.  With no incentive to schedule, an undue burden would be imposed on the remaining resources.</w:t>
      </w:r>
    </w:p>
    <w:p>
      <w:pPr>
        <w:pStyle w:val="Normal"/>
        <w:rPr/>
      </w:pPr>
      <w:r>
        <w:rPr/>
      </w:r>
    </w:p>
    <w:p>
      <w:pPr>
        <w:pStyle w:val="Normal"/>
        <w:numPr>
          <w:ilvl w:val="0"/>
          <w:numId w:val="3"/>
        </w:numPr>
        <w:rPr>
          <w:b/>
          <w:i/>
          <w:i/>
        </w:rPr>
      </w:pPr>
      <w:r>
        <w:rPr>
          <w:b/>
          <w:i/>
        </w:rPr>
        <w:t>Allow for Use of RMR Units when ERCOT does not commit them</w:t>
      </w:r>
    </w:p>
    <w:p>
      <w:pPr>
        <w:pStyle w:val="Normal"/>
        <w:ind w:start="360" w:end="0"/>
        <w:rPr/>
      </w:pPr>
      <w:r>
        <w:rPr/>
        <w:t>This has been a controversial issue which, in some respects, goes against the philosophy established previously that the RMR is a non-market unit.  Since ERCOT has paid all the fixed costs for the RMR unit, if this provision is allowed, there must be a market-based solution that allows ERCOT to recover a proper share of the fixed cost based on the value of the unit at the time it is used by another party.</w:t>
      </w:r>
    </w:p>
    <w:p>
      <w:pPr>
        <w:pStyle w:val="Normal"/>
        <w:ind w:start="360" w:end="0"/>
        <w:rPr/>
      </w:pPr>
      <w:r>
        <w:rPr/>
      </w:r>
    </w:p>
    <w:p>
      <w:pPr>
        <w:pStyle w:val="Normal"/>
        <w:ind w:start="360" w:end="0"/>
        <w:rPr/>
      </w:pPr>
      <w:r>
        <w:rPr/>
        <w:t>The proposal I chose is one that determines a market-based price for self-commitment of a RMR unit by auctioning all rights of selling Balancing Energy Up Service and unit commitment to minimum load when not in use by ERCOT.  The unit owner submits what it will accept as additional use and therefore controls the amount of rights auctioned, if any.  The unit owner may bid and win these rights.</w:t>
      </w:r>
    </w:p>
    <w:p>
      <w:pPr>
        <w:pStyle w:val="Normal"/>
        <w:ind w:start="360" w:end="0"/>
        <w:rPr/>
      </w:pPr>
      <w:r>
        <w:rPr/>
      </w:r>
    </w:p>
    <w:p>
      <w:pPr>
        <w:pStyle w:val="Normal"/>
        <w:ind w:start="360" w:end="0"/>
        <w:rPr/>
      </w:pPr>
      <w:r>
        <w:rPr/>
        <w:t>An alternative would be to auction the self-commitment rights to minimum load and the corresponding sale of Balancing Energy Up Service if self-committed only.  This preserves the existing RMR arrangement as written.</w:t>
      </w:r>
    </w:p>
    <w:p>
      <w:pPr>
        <w:pStyle w:val="Normal"/>
        <w:rPr/>
      </w:pPr>
      <w:r>
        <w:rPr/>
      </w:r>
    </w:p>
    <w:p>
      <w:pPr>
        <w:pStyle w:val="Normal"/>
        <w:numPr>
          <w:ilvl w:val="0"/>
          <w:numId w:val="3"/>
        </w:numPr>
        <w:rPr>
          <w:b/>
          <w:i/>
          <w:i/>
        </w:rPr>
      </w:pPr>
      <w:r>
        <w:rPr>
          <w:b/>
          <w:i/>
        </w:rPr>
        <w:t>Allow IDR-metered loads in NOIEs to have the right to participate in the Balancing Up Load bids (BUL)</w:t>
      </w:r>
    </w:p>
    <w:p>
      <w:pPr>
        <w:pStyle w:val="Normal"/>
        <w:ind w:start="360" w:end="0"/>
        <w:rPr/>
      </w:pPr>
      <w:r>
        <w:rPr/>
        <w:t>The proposal involves how to ensure settlement is accomplished to ensure that ERCOT received the benefit of the BUL deployment it pays for.</w:t>
      </w:r>
    </w:p>
    <w:p>
      <w:pPr>
        <w:pStyle w:val="Normal"/>
        <w:rPr/>
      </w:pPr>
      <w:r>
        <w:rPr/>
      </w:r>
    </w:p>
    <w:p>
      <w:pPr>
        <w:pStyle w:val="Normal"/>
        <w:numPr>
          <w:ilvl w:val="0"/>
          <w:numId w:val="3"/>
        </w:numPr>
        <w:rPr/>
      </w:pPr>
      <w:r>
        <w:rPr/>
        <w:t xml:space="preserve">An omitted decision from the October 5, 2000 RUG meeting has been discovered by Ron Lanclos.  The RUG agreed (as reflected in the minutes) not to deploy the energy included in capacity ancillary services such as replacement or non-spinning reserve in less than 50 MW blocks.  If deployment was required in less that this block size, it would be skipped in deployment order and the next bid deployed. </w:t>
      </w:r>
    </w:p>
    <w:p>
      <w:pPr>
        <w:pStyle w:val="Normal"/>
        <w:rPr/>
      </w:pPr>
      <w:r>
        <w:rPr/>
      </w:r>
    </w:p>
    <w:p>
      <w:pPr>
        <w:pStyle w:val="Normal"/>
        <w:rPr/>
      </w:pPr>
      <w:r>
        <w:rPr/>
        <w:t>The proposals, including Protocol language to address these four issues are attached for your review and comment.</w:t>
      </w:r>
    </w:p>
    <w:p>
      <w:pPr>
        <w:pStyle w:val="Normal"/>
        <w:rPr/>
      </w:pPr>
      <w:r>
        <w:rPr/>
      </w:r>
    </w:p>
    <w:p>
      <w:pPr>
        <w:pStyle w:val="Normal"/>
        <w:rPr/>
      </w:pPr>
      <w:r>
        <w:rPr/>
        <w:t>I encourage other stakeholders to offer alternate proposals or provide comments to any or all of these proposals.  The solution to the issues will be voted on at the December 6, 2000 RUG meeting.  I also encourage the ERCOT staff to distribute to RUG the revised ADR proposal involving arbitration when it is ready.  Thank you for your attention to this matter.</w:t>
      </w:r>
      <w:r>
        <w:br w:type="page"/>
      </w:r>
    </w:p>
    <w:p>
      <w:pPr>
        <w:pStyle w:val="Normal"/>
        <w:jc w:val="center"/>
        <w:rPr>
          <w:b/>
        </w:rPr>
      </w:pPr>
      <w:r>
        <w:rPr>
          <w:b/>
        </w:rPr>
        <w:t>PROPOSED CHANGES TO PROTOCOLS TO RESOLVE REMAINING ISSUES</w:t>
      </w:r>
    </w:p>
    <w:p>
      <w:pPr>
        <w:pStyle w:val="Normal"/>
        <w:rPr>
          <w:b/>
        </w:rPr>
      </w:pPr>
      <w:r>
        <w:rPr>
          <w:b/>
        </w:rPr>
      </w:r>
    </w:p>
    <w:p>
      <w:pPr>
        <w:pStyle w:val="Heading1"/>
        <w:ind w:hanging="0" w:start="0"/>
        <w:rPr/>
      </w:pPr>
      <w:r>
        <w:rPr/>
        <w:t>Issue 1</w:t>
      </w:r>
    </w:p>
    <w:p>
      <w:pPr>
        <w:pStyle w:val="Normal"/>
        <w:rPr/>
      </w:pPr>
      <w:r>
        <w:rPr/>
        <w:t>Remove/limit Uninstructed Deviation Pricing for Uncontrollable Renewable Resources</w:t>
      </w:r>
    </w:p>
    <w:p>
      <w:pPr>
        <w:pStyle w:val="Normal"/>
        <w:rPr/>
      </w:pPr>
      <w:r>
        <w:rPr/>
      </w:r>
    </w:p>
    <w:p>
      <w:pPr>
        <w:pStyle w:val="Heading2"/>
        <w:ind w:hanging="0" w:start="0"/>
        <w:rPr/>
      </w:pPr>
      <w:r>
        <w:rPr/>
        <w:t>Proposal</w:t>
      </w:r>
    </w:p>
    <w:p>
      <w:pPr>
        <w:pStyle w:val="Normal"/>
        <w:rPr/>
      </w:pPr>
      <w:r>
        <w:rPr/>
        <w:t>Add the following condition to Section 6.8.1.15.1:</w:t>
      </w:r>
    </w:p>
    <w:p>
      <w:pPr>
        <w:pStyle w:val="Normal"/>
        <w:rPr/>
      </w:pPr>
      <w:r>
        <w:rPr/>
      </w:r>
    </w:p>
    <w:p>
      <w:pPr>
        <w:pStyle w:val="Normal"/>
        <w:rPr/>
      </w:pPr>
      <w:r>
        <w:rPr/>
        <w:t>A QSE that only schedules uncontrollable renewable resources will be subject to Uninstructed Deviation Pricing only if their total metered resources are greater than or less than 50% of their schedule in any schedule interval.</w:t>
      </w:r>
    </w:p>
    <w:p>
      <w:pPr>
        <w:pStyle w:val="Normal"/>
        <w:rPr/>
      </w:pPr>
      <w:r>
        <w:rPr/>
      </w:r>
    </w:p>
    <w:p>
      <w:pPr>
        <w:pStyle w:val="Heading1"/>
        <w:ind w:hanging="0" w:start="0"/>
        <w:rPr/>
      </w:pPr>
      <w:r>
        <w:rPr/>
        <w:t>Issue 2</w:t>
      </w:r>
    </w:p>
    <w:p>
      <w:pPr>
        <w:pStyle w:val="Normal"/>
        <w:rPr/>
      </w:pPr>
      <w:r>
        <w:rPr/>
        <w:t>Allow for the use of RMR units when ERCOT does not commit them by determining a market-based price for self-commitment of RMR units.</w:t>
      </w:r>
    </w:p>
    <w:p>
      <w:pPr>
        <w:pStyle w:val="Normal"/>
        <w:rPr/>
      </w:pPr>
      <w:r>
        <w:rPr/>
      </w:r>
    </w:p>
    <w:p>
      <w:pPr>
        <w:pStyle w:val="Normal"/>
        <w:rPr>
          <w:i/>
          <w:i/>
        </w:rPr>
      </w:pPr>
      <w:r>
        <w:rPr>
          <w:i/>
        </w:rPr>
        <w:t>Proposal</w:t>
      </w:r>
    </w:p>
    <w:p>
      <w:pPr>
        <w:pStyle w:val="Normal"/>
        <w:rPr/>
      </w:pPr>
      <w:r>
        <w:rPr/>
        <w:t>Add the following condition to Section 6.5.9</w:t>
      </w:r>
    </w:p>
    <w:p>
      <w:pPr>
        <w:pStyle w:val="Normal"/>
        <w:rPr/>
      </w:pPr>
      <w:r>
        <w:rPr/>
      </w:r>
    </w:p>
    <w:p>
      <w:pPr>
        <w:pStyle w:val="Normal"/>
        <w:numPr>
          <w:ilvl w:val="0"/>
          <w:numId w:val="2"/>
        </w:numPr>
        <w:rPr/>
      </w:pPr>
      <w:r>
        <w:rPr/>
        <w:t>Following the execution of an Agreement for RMR Services, the RMR unit owner may specify any incremental hours, mWhs and starts the RMR unit can provide above those in the RMR contract.  ERCOT will auction any additional annual Capacity rights to commit a RMR unit for the sole purpose of selling Balancing Energy Up Service to the balancing market for the capacity available above the RMR Agreement specified minimum load of the RMR unit.  Included in the annual Capacity is the right to schedule and bid all available Balancing Energy Up Service above the amount ERCOT specifies in its commitment of the unit.  The holder of these additional Capacity rights may commit the unit to its established minimum load and/or bid Balancing Energy Up Service only under the following conditions:</w:t>
      </w:r>
    </w:p>
    <w:p>
      <w:pPr>
        <w:pStyle w:val="Normal"/>
        <w:numPr>
          <w:ilvl w:val="1"/>
          <w:numId w:val="4"/>
        </w:numPr>
        <w:rPr/>
      </w:pPr>
      <w:r>
        <w:rPr/>
        <w:t>The unit loading does not cause a reliability problem to ERCOT;</w:t>
      </w:r>
    </w:p>
    <w:p>
      <w:pPr>
        <w:pStyle w:val="Normal"/>
        <w:numPr>
          <w:ilvl w:val="1"/>
          <w:numId w:val="4"/>
        </w:numPr>
        <w:rPr/>
      </w:pPr>
      <w:r>
        <w:rPr/>
        <w:t>The use of the unit does not use the allotted environmental credits ERCOT is entitled to by contract or otherwise materially effect the rights of ERCOT provided in the RMR Agreement;</w:t>
      </w:r>
    </w:p>
    <w:p>
      <w:pPr>
        <w:pStyle w:val="Normal"/>
        <w:numPr>
          <w:ilvl w:val="1"/>
          <w:numId w:val="4"/>
        </w:numPr>
        <w:rPr/>
      </w:pPr>
      <w:r>
        <w:rPr/>
        <w:t>The unit is available in the RMR Availability Plan;</w:t>
      </w:r>
    </w:p>
    <w:p>
      <w:pPr>
        <w:pStyle w:val="Normal"/>
        <w:numPr>
          <w:ilvl w:val="1"/>
          <w:numId w:val="4"/>
        </w:numPr>
        <w:rPr/>
      </w:pPr>
      <w:r>
        <w:rPr/>
        <w:t>The holder of the rights will schedule the unit on and off following the scheduling deadlines of these Protocols.</w:t>
      </w:r>
    </w:p>
    <w:p>
      <w:pPr>
        <w:pStyle w:val="Normal"/>
        <w:rPr/>
      </w:pPr>
      <w:r>
        <w:rPr/>
      </w:r>
    </w:p>
    <w:p>
      <w:pPr>
        <w:pStyle w:val="Normal"/>
        <w:numPr>
          <w:ilvl w:val="0"/>
          <w:numId w:val="2"/>
        </w:numPr>
        <w:rPr/>
      </w:pPr>
      <w:r>
        <w:rPr/>
        <w:t>The holder of additional Capacity rights agrees to pay the owner of the RMR unit compensation based on the same fuel and start-up prices as defined in the RMR Agreement between the RMR unit owner and ERCOT.  The holder agrees to pay the RMR owner any additional O&amp;M cost as may be established by ERCOT and to provide or pay the RMR unit owner for any additional use of the unit above the RMR agreement.  ERCOT will provide the RMR unit owner with 10% of the auction proceeds and will credit the remaining against the cost of the RMR agreement.  The RMR unit owner may participate in the auction of the annual Capacity rights to commit an RMR unit.</w:t>
      </w:r>
    </w:p>
    <w:p>
      <w:pPr>
        <w:pStyle w:val="Normal"/>
        <w:rPr/>
      </w:pPr>
      <w:r>
        <w:rPr/>
      </w:r>
    </w:p>
    <w:p>
      <w:pPr>
        <w:pStyle w:val="Heading3"/>
        <w:ind w:hanging="0" w:start="0"/>
        <w:rPr/>
      </w:pPr>
      <w:r>
        <w:rPr/>
        <w:t>Issue 3</w:t>
      </w:r>
    </w:p>
    <w:p>
      <w:pPr>
        <w:pStyle w:val="Normal"/>
        <w:rPr/>
      </w:pPr>
      <w:r>
        <w:rPr/>
        <w:t>Allow IDR-metered Loads in Non-Opt-In Utilities (NOIE) to have the capability to participate in Balancing Up Load bids (BUL)</w:t>
      </w:r>
    </w:p>
    <w:p>
      <w:pPr>
        <w:pStyle w:val="Normal"/>
        <w:rPr/>
      </w:pPr>
      <w:r>
        <w:rPr/>
      </w:r>
    </w:p>
    <w:p>
      <w:pPr>
        <w:pStyle w:val="Heading2"/>
        <w:ind w:hanging="0" w:start="0"/>
        <w:rPr/>
      </w:pPr>
      <w:r>
        <w:rPr/>
        <w:t>Proposal</w:t>
      </w:r>
    </w:p>
    <w:p>
      <w:pPr>
        <w:pStyle w:val="Normal"/>
        <w:rPr/>
      </w:pPr>
      <w:r>
        <w:rPr/>
      </w:r>
    </w:p>
    <w:p>
      <w:pPr>
        <w:pStyle w:val="Normal"/>
        <w:rPr/>
      </w:pPr>
      <w:r>
        <w:rPr/>
        <w:t>The QSE of the NOIE would notify ERCOT of the loads eligible to provide BULs.  The NOIE must install and register with ERCOT an IDR meter for that participating BUL load.  The QSE of the NOIE would be responsible for including an estimate of that BUL load in its signal to ERCOT when that BUL is deployed.  In the settlement intervals in which the BUL is deployed, the NOIE’s scheduled generation (supply) will be adjusted upward for the amount of BUL deployed according to the load IDR meter in that interval.  For NOIEs without any generation, the supply schedule of the QSEs supplying the NOIE’s dynamic supply obligation will be adjusted upward to account for the BUL deployed.</w:t>
      </w:r>
    </w:p>
    <w:p>
      <w:pPr>
        <w:pStyle w:val="Normal"/>
        <w:rPr/>
      </w:pPr>
      <w:r>
        <w:rPr/>
      </w:r>
    </w:p>
    <w:p>
      <w:pPr>
        <w:pStyle w:val="Heading3"/>
        <w:ind w:hanging="0" w:start="0"/>
        <w:rPr/>
      </w:pPr>
      <w:r>
        <w:rPr/>
        <w:t>Issue 4</w:t>
      </w:r>
    </w:p>
    <w:p>
      <w:pPr>
        <w:pStyle w:val="Normal"/>
        <w:rPr/>
      </w:pPr>
      <w:r>
        <w:rPr/>
        <w:t>Address Partial Block Deployment Issue Agreed to by RUG</w:t>
      </w:r>
    </w:p>
    <w:p>
      <w:pPr>
        <w:pStyle w:val="Normal"/>
        <w:rPr/>
      </w:pPr>
      <w:r>
        <w:rPr/>
      </w:r>
    </w:p>
    <w:p>
      <w:pPr>
        <w:pStyle w:val="Heading2"/>
        <w:ind w:hanging="0" w:start="0"/>
        <w:rPr/>
      </w:pPr>
      <w:r>
        <w:rPr/>
        <w:t>Proposal</w:t>
      </w:r>
    </w:p>
    <w:p>
      <w:pPr>
        <w:pStyle w:val="Normal"/>
        <w:rPr/>
      </w:pPr>
      <w:r>
        <w:rPr/>
        <w:t>Add to Sections 6.7.1.1 and 6.7.4 the following sub-point:</w:t>
      </w:r>
    </w:p>
    <w:p>
      <w:pPr>
        <w:pStyle w:val="Normal"/>
        <w:rPr/>
      </w:pPr>
      <w:r>
        <w:rPr/>
      </w:r>
    </w:p>
    <w:p>
      <w:pPr>
        <w:pStyle w:val="Normal"/>
        <w:rPr/>
      </w:pPr>
      <w:r>
        <w:rPr/>
        <w:t>To the extent that the ERCOT System Operator deploys a bid by a Load Acting as a Resource, the Operator shall either deploy the entire 50 MW bid or, if only partial deployment is possible, skip the bid by the Load Acting as a Resource and proceed to deploy the next available bid.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2"/>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outlineLvl w:val="1"/>
    </w:pPr>
    <w:rPr>
      <w:i/>
    </w:rPr>
  </w:style>
  <w:style w:type="paragraph" w:styleId="Heading3">
    <w:name w:val="heading 3"/>
    <w:basedOn w:val="Normal"/>
    <w:next w:val="Normal"/>
    <w:qFormat/>
    <w:pPr>
      <w:keepNext w:val="true"/>
      <w:numPr>
        <w:ilvl w:val="2"/>
        <w:numId w:val="1"/>
      </w:numPr>
      <w:outlineLvl w:val="2"/>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2000-11-27T18:08:00Z</dcterms:created>
  <dc:creator>I013996</dc:creator>
  <dc:description/>
  <dc:language>en-CA</dc:language>
  <cp:lastModifiedBy>I013996</cp:lastModifiedBy>
  <cp:lastPrinted>2000-11-27T16:07:00Z</cp:lastPrinted>
  <dcterms:modified xsi:type="dcterms:W3CDTF">2000-11-27T19:47:00Z</dcterms:modified>
  <cp:revision>5</cp:revision>
  <dc:subject/>
  <dc:title>Date: </dc:title>
</cp:coreProperties>
</file>