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PUBLIC AFFAIRS WORKING GROUP ON RATES &amp; TARIFFS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</w:t>
        <w:tab/>
        <w:tab/>
        <w:tab/>
        <w:tab/>
        <w:tab/>
        <w:t>SUGGESTED PURPOSE OF WORKING GROUP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5328"/>
      </w:tblGrid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Ray Alverez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Sergio Assad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(1) Roster the main issues regarding rates and tariffs.</w:t>
            </w:r>
          </w:p>
          <w:p>
            <w:pPr>
              <w:pStyle w:val="Normal"/>
              <w:rPr/>
            </w:pPr>
            <w:r>
              <w:rPr/>
              <w:t xml:space="preserve">(2) Determine positions for – methodology for capital remuneration, how to ensure T&amp;D grid expansion, criteria to establish and guarantee economic equilibrium of the concession.  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Roy Boston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(1) Identify utility rates and services that provide an Enron business unit with a business opportunity.</w:t>
            </w:r>
          </w:p>
          <w:p>
            <w:pPr>
              <w:pStyle w:val="Normal"/>
              <w:rPr/>
            </w:pPr>
            <w:r>
              <w:rPr/>
              <w:t>(2) Identify how to change a rate or tariff, if by so doing a business opportunity is created.</w:t>
            </w:r>
          </w:p>
          <w:p>
            <w:pPr>
              <w:pStyle w:val="Normal"/>
              <w:rPr/>
            </w:pPr>
            <w:r>
              <w:rPr/>
              <w:t>(3) Learning from others.</w:t>
            </w:r>
          </w:p>
          <w:p>
            <w:pPr>
              <w:pStyle w:val="Normal"/>
              <w:rPr/>
            </w:pPr>
            <w:r>
              <w:rPr/>
              <w:t>(4) Meeting in exotic places.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Shelley Corman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Drew Fossum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(1) Work toward consistency on regulatory strategy</w:t>
            </w:r>
          </w:p>
          <w:p>
            <w:pPr>
              <w:pStyle w:val="Normal"/>
              <w:rPr/>
            </w:pPr>
            <w:r>
              <w:rPr/>
              <w:t>(2) Facilitate dialogue, with a forum for sharing best practices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Grimes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Develop consistent positions on rate design and tariff levels, especially for transmission, that can be shared among countries and avoid repeating of others’ mistakes.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Kyran Hanks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(1) Pull together lessons learned of the UK and US  markets to advise regulators in other countries</w:t>
            </w:r>
          </w:p>
          <w:p>
            <w:pPr>
              <w:pStyle w:val="Normal"/>
              <w:rPr/>
            </w:pPr>
            <w:r>
              <w:rPr/>
              <w:t>(2) Identify common features of a TPA regime for a liberalised market.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Rita Hartfield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Nancy Hetrick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Identify needs, best practices, solutions, etc. country by country and promote uniformity wherever possible.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Hoatson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Kaufman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Harry Kingerski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(1) Identify rates and tariffs policy positions</w:t>
            </w:r>
          </w:p>
          <w:p>
            <w:pPr>
              <w:pStyle w:val="Normal"/>
              <w:rPr/>
            </w:pPr>
            <w:r>
              <w:rPr/>
              <w:t>(2) Develop policy positions where they are needed</w:t>
            </w:r>
          </w:p>
          <w:p>
            <w:pPr>
              <w:pStyle w:val="Normal"/>
              <w:rPr/>
            </w:pPr>
            <w:r>
              <w:rPr/>
              <w:t>(3) Identify resources available to the group</w:t>
            </w:r>
          </w:p>
          <w:p>
            <w:pPr>
              <w:pStyle w:val="Normal"/>
              <w:rPr/>
            </w:pPr>
            <w:r>
              <w:rPr/>
              <w:t>(4) Acquire resources needed by the group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Valerie Lima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Identify rate design options, rate and customer class categories, market segmentation activities, viability of more than one type of tariff, discount policy, firm vs. interruptible service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Robert Neustaedter</w:t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2000-01-06T19:56:00Z</dcterms:created>
  <dc:creator>hkinger</dc:creator>
  <dc:description/>
  <dc:language>en-CA</dc:language>
  <cp:lastModifiedBy>hkinger</cp:lastModifiedBy>
  <cp:lastPrinted>2000-01-07T09:10:00Z</cp:lastPrinted>
  <dcterms:modified xsi:type="dcterms:W3CDTF">2000-01-07T19:17:00Z</dcterms:modified>
  <cp:revision>4</cp:revision>
  <dc:subject/>
  <dc:title>NAME</dc:title>
</cp:coreProperties>
</file>