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August 21, 2001</w:t>
      </w:r>
    </w:p>
    <w:p>
      <w:pPr>
        <w:pStyle w:val="Normal"/>
        <w:rPr>
          <w:b/>
          <w:bCs/>
        </w:rPr>
      </w:pPr>
      <w:r>
        <w:rPr>
          <w:b/>
          <w:bCs/>
        </w:rPr>
      </w:r>
    </w:p>
    <w:p>
      <w:pPr>
        <w:pStyle w:val="Heading1"/>
        <w:ind w:hanging="0" w:start="0"/>
        <w:rPr/>
      </w:pPr>
      <w:r>
        <w:rPr/>
        <w:t>Summary of Requests for Rehearing in Southeast RTO proceedings</w:t>
      </w:r>
    </w:p>
    <w:p>
      <w:pPr>
        <w:pStyle w:val="Normal"/>
        <w:rPr/>
      </w:pPr>
      <w:r>
        <w:rPr/>
      </w:r>
    </w:p>
    <w:p>
      <w:pPr>
        <w:pStyle w:val="Normal"/>
        <w:rPr/>
      </w:pPr>
      <w:r>
        <w:rPr/>
        <w:t>Most parties that filed rehearing requests objected to the Commission’s failure to provide notice and a comment period before issuing its orders, or to substantiate the</w:t>
      </w:r>
      <w:r>
        <w:rPr>
          <w:b/>
          <w:bCs/>
        </w:rPr>
        <w:t xml:space="preserve"> </w:t>
      </w:r>
      <w:r>
        <w:rPr/>
        <w:t>orders with any cost/benefit analysis.</w:t>
      </w:r>
      <w:r>
        <w:rPr>
          <w:b/>
          <w:bCs/>
        </w:rPr>
        <w:t xml:space="preserve">  </w:t>
      </w:r>
      <w:r>
        <w:rPr/>
        <w:t xml:space="preserve">Requests for rehearing based primarily on these arguments are </w:t>
      </w:r>
      <w:r>
        <w:rPr>
          <w:b/>
          <w:bCs/>
        </w:rPr>
        <w:t>Georgia Public Service Commission</w:t>
      </w:r>
      <w:r>
        <w:rPr/>
        <w:t xml:space="preserve"> (RT01-100), </w:t>
      </w:r>
      <w:r>
        <w:rPr>
          <w:b/>
          <w:bCs/>
        </w:rPr>
        <w:t xml:space="preserve">Alabama Public Service Commission </w:t>
      </w:r>
      <w:r>
        <w:rPr/>
        <w:t xml:space="preserve">(RT01-100; RT01-77), </w:t>
      </w:r>
      <w:r>
        <w:rPr>
          <w:b/>
          <w:bCs/>
        </w:rPr>
        <w:t>Louisiana Public Service Commission</w:t>
      </w:r>
      <w:r>
        <w:rPr/>
        <w:t xml:space="preserve"> (RT01-100; RT01-75)</w:t>
      </w:r>
    </w:p>
    <w:p>
      <w:pPr>
        <w:pStyle w:val="Normal"/>
        <w:rPr/>
      </w:pPr>
      <w:r>
        <w:rPr/>
      </w:r>
    </w:p>
    <w:p>
      <w:pPr>
        <w:pStyle w:val="Heading1"/>
        <w:ind w:hanging="0" w:start="0"/>
        <w:rPr>
          <w:b w:val="false"/>
          <w:bCs w:val="false"/>
        </w:rPr>
      </w:pPr>
      <w:r>
        <w:rPr>
          <w:b w:val="false"/>
          <w:bCs w:val="false"/>
        </w:rPr>
        <w:t>Requests for rehearing including other key points of error:</w:t>
      </w:r>
    </w:p>
    <w:p>
      <w:pPr>
        <w:pStyle w:val="Heading1"/>
        <w:ind w:hanging="0" w:start="0"/>
        <w:rPr>
          <w:b w:val="false"/>
          <w:bCs w:val="false"/>
        </w:rPr>
      </w:pPr>
      <w:r>
        <w:rPr>
          <w:b w:val="false"/>
          <w:bCs w:val="false"/>
        </w:rPr>
      </w:r>
    </w:p>
    <w:p>
      <w:pPr>
        <w:pStyle w:val="Heading1"/>
        <w:ind w:hanging="0" w:start="0"/>
        <w:rPr/>
      </w:pPr>
      <w:r>
        <w:rPr/>
        <w:t>Public Service Commission of South Carolina</w:t>
      </w:r>
    </w:p>
    <w:p>
      <w:pPr>
        <w:pStyle w:val="Normal"/>
        <w:rPr/>
      </w:pPr>
      <w:r>
        <w:rPr/>
        <w:t>(RT01-100; RT01-74)</w:t>
      </w:r>
    </w:p>
    <w:p>
      <w:pPr>
        <w:pStyle w:val="Normal"/>
        <w:rPr/>
      </w:pPr>
      <w:r>
        <w:rPr/>
      </w:r>
    </w:p>
    <w:p>
      <w:pPr>
        <w:pStyle w:val="Normal"/>
        <w:rPr/>
      </w:pPr>
      <w:r>
        <w:rPr/>
        <w:t>Claims FERC erred by:</w:t>
      </w:r>
    </w:p>
    <w:p>
      <w:pPr>
        <w:pStyle w:val="Normal"/>
        <w:numPr>
          <w:ilvl w:val="0"/>
          <w:numId w:val="2"/>
        </w:numPr>
        <w:rPr/>
      </w:pPr>
      <w:r>
        <w:rPr/>
        <w:t>abandoning voluntary, collaborative approach adopted in Order No. 2000</w:t>
      </w:r>
    </w:p>
    <w:p>
      <w:pPr>
        <w:pStyle w:val="Normal"/>
        <w:numPr>
          <w:ilvl w:val="0"/>
          <w:numId w:val="2"/>
        </w:numPr>
        <w:rPr/>
      </w:pPr>
      <w:r>
        <w:rPr/>
        <w:t>requiring transmission-owning public utilities to turn over control of transmission and generation to FERC-jurisdictional RTO (exceeds FERC’s statutory authority)</w:t>
      </w:r>
    </w:p>
    <w:p>
      <w:pPr>
        <w:pStyle w:val="Normal"/>
        <w:numPr>
          <w:ilvl w:val="0"/>
          <w:numId w:val="2"/>
        </w:numPr>
        <w:rPr/>
      </w:pPr>
      <w:r>
        <w:rPr/>
        <w:t>reversing without explanation its denial in 5/20/01 order in RT01-74 of EPMI’s request for region-wide settlement negotiations to form a single RTO for the Southeast</w:t>
      </w:r>
    </w:p>
    <w:p>
      <w:pPr>
        <w:pStyle w:val="Normal"/>
        <w:numPr>
          <w:ilvl w:val="0"/>
          <w:numId w:val="2"/>
        </w:numPr>
        <w:rPr/>
      </w:pPr>
      <w:r>
        <w:rPr/>
        <w:t>not creating a defined role for State commissions in the mediation process</w:t>
      </w:r>
    </w:p>
    <w:p>
      <w:pPr>
        <w:pStyle w:val="Normal"/>
        <w:numPr>
          <w:ilvl w:val="0"/>
          <w:numId w:val="2"/>
        </w:numPr>
        <w:rPr/>
      </w:pPr>
      <w:r>
        <w:rPr/>
        <w:t>stripping utilities with retail native load customers of the responsibility for transmission planning with regard to such customers</w:t>
      </w:r>
    </w:p>
    <w:p>
      <w:pPr>
        <w:pStyle w:val="Normal"/>
        <w:rPr/>
      </w:pPr>
      <w:r>
        <w:rPr/>
      </w:r>
    </w:p>
    <w:p>
      <w:pPr>
        <w:pStyle w:val="Normal"/>
        <w:rPr/>
      </w:pPr>
      <w:r>
        <w:rPr>
          <w:b/>
          <w:bCs/>
        </w:rPr>
        <w:t>North Carolina Utilities Commission</w:t>
      </w:r>
      <w:r>
        <w:rPr/>
        <w:t xml:space="preserve"> (RT01-100; RT01-74) – list of errors is identical to that of PSC/South Carolina.  In separate pleading, moves for stay of mediation proceedings because July 12 orders were unlawful.</w:t>
      </w:r>
    </w:p>
    <w:p>
      <w:pPr>
        <w:pStyle w:val="Normal"/>
        <w:rPr/>
      </w:pPr>
      <w:r>
        <w:rPr/>
      </w:r>
    </w:p>
    <w:p>
      <w:pPr>
        <w:pStyle w:val="Normal"/>
        <w:rPr/>
      </w:pPr>
      <w:r>
        <w:rPr>
          <w:b/>
          <w:bCs/>
        </w:rPr>
        <w:t>Mississippi Public Service Commission</w:t>
      </w:r>
      <w:r>
        <w:rPr/>
        <w:t xml:space="preserve"> (RT01-100; RT01-34; RT01-75; RT01-77)</w:t>
      </w:r>
    </w:p>
    <w:p>
      <w:pPr>
        <w:pStyle w:val="Normal"/>
        <w:rPr/>
      </w:pPr>
      <w:r>
        <w:rPr/>
      </w:r>
    </w:p>
    <w:p>
      <w:pPr>
        <w:pStyle w:val="Normal"/>
        <w:rPr/>
      </w:pPr>
      <w:r>
        <w:rPr/>
        <w:t xml:space="preserve">FERC’s orders violate Section 202(a) of the FPA, which allows only for </w:t>
      </w:r>
      <w:r>
        <w:rPr>
          <w:i/>
          <w:iCs/>
        </w:rPr>
        <w:t>voluntary</w:t>
      </w:r>
      <w:r>
        <w:rPr/>
        <w:t xml:space="preserve"> formation of coordination districts.</w:t>
      </w:r>
    </w:p>
    <w:p>
      <w:pPr>
        <w:pStyle w:val="Normal"/>
        <w:rPr/>
      </w:pPr>
      <w:r>
        <w:rPr/>
      </w:r>
    </w:p>
    <w:p>
      <w:pPr>
        <w:pStyle w:val="Heading1"/>
        <w:ind w:hanging="0" w:start="0"/>
        <w:rPr/>
      </w:pPr>
      <w:r>
        <w:rPr/>
        <w:t xml:space="preserve">Southern Company Services </w:t>
      </w:r>
      <w:r>
        <w:rPr>
          <w:b w:val="false"/>
          <w:bCs w:val="false"/>
        </w:rPr>
        <w:t>(RT01-100; RT01-77)</w:t>
      </w:r>
    </w:p>
    <w:p>
      <w:pPr>
        <w:pStyle w:val="Normal"/>
        <w:rPr>
          <w:b/>
          <w:bCs/>
        </w:rPr>
      </w:pPr>
      <w:r>
        <w:rPr>
          <w:b/>
          <w:bCs/>
        </w:rPr>
      </w:r>
    </w:p>
    <w:p>
      <w:pPr>
        <w:pStyle w:val="Normal"/>
        <w:rPr/>
      </w:pPr>
      <w:r>
        <w:rPr/>
        <w:t>FERC exceeded its statutory authority by mandating participation in RTOs and determining the scope and configuration of such RTOs.</w:t>
      </w:r>
    </w:p>
    <w:p>
      <w:pPr>
        <w:pStyle w:val="Normal"/>
        <w:rPr/>
      </w:pPr>
      <w:r>
        <w:rPr/>
      </w:r>
    </w:p>
    <w:p>
      <w:pPr>
        <w:pStyle w:val="Normal"/>
        <w:rPr/>
      </w:pPr>
      <w:r>
        <w:rPr>
          <w:b/>
          <w:bCs/>
        </w:rPr>
        <w:t xml:space="preserve">Board of Water, Light and Sinking Fund Commissioners of the City of Dalton, Georgia, Central Electric Power Cooperative, Inc., City of Tallahassee, Florida, Jacksonville Electric Authority, MEAG Power and South Carolina Public Service Authority </w:t>
      </w:r>
      <w:r>
        <w:rPr/>
        <w:t xml:space="preserve"> (RT01-100; RT01-77)</w:t>
      </w:r>
    </w:p>
    <w:p>
      <w:pPr>
        <w:pStyle w:val="Normal"/>
        <w:rPr/>
      </w:pPr>
      <w:r>
        <w:rPr/>
        <w:t>FERC erred in concluding that the appropriate scope of a Southeastern RTO is the entire Southeastern U.S.</w:t>
      </w:r>
    </w:p>
    <w:p>
      <w:pPr>
        <w:pStyle w:val="Normal"/>
        <w:rPr>
          <w:b/>
          <w:bCs/>
        </w:rPr>
      </w:pPr>
      <w:r>
        <w:rPr>
          <w:b/>
          <w:bCs/>
        </w:rPr>
      </w:r>
    </w:p>
    <w:p>
      <w:pPr>
        <w:pStyle w:val="Normal"/>
        <w:rPr/>
      </w:pPr>
      <w:r>
        <w:rPr>
          <w:b/>
          <w:bCs/>
        </w:rPr>
        <w:t>Southwestern Public Service Company</w:t>
      </w:r>
      <w:r>
        <w:rPr/>
        <w:t xml:space="preserve"> (RT01-34; RT01-100; EC01-111) </w:t>
      </w:r>
    </w:p>
    <w:p>
      <w:pPr>
        <w:pStyle w:val="Normal"/>
        <w:rPr/>
      </w:pPr>
      <w:r>
        <w:rPr/>
      </w:r>
    </w:p>
    <w:p>
      <w:pPr>
        <w:pStyle w:val="Normal"/>
        <w:numPr>
          <w:ilvl w:val="0"/>
          <w:numId w:val="2"/>
        </w:numPr>
        <w:rPr/>
      </w:pPr>
      <w:r>
        <w:rPr/>
        <w:t xml:space="preserve">requests clarification that in addition to allowing SPP to join a larger Midwest RTO, SPS is also allowed to join a Midwest RTO rather than the Southeast RTO, if SPS determines the Midwest RTO would provide better access to natural  markets.  </w:t>
      </w:r>
    </w:p>
    <w:p>
      <w:pPr>
        <w:pStyle w:val="Normal"/>
        <w:ind w:start="720" w:end="0"/>
        <w:rPr/>
      </w:pPr>
      <w:r>
        <w:rPr/>
      </w:r>
    </w:p>
    <w:p>
      <w:pPr>
        <w:pStyle w:val="Normal"/>
        <w:numPr>
          <w:ilvl w:val="0"/>
          <w:numId w:val="2"/>
        </w:numPr>
        <w:rPr/>
      </w:pPr>
      <w:r>
        <w:rPr/>
        <w:t>alternatively, requests rehearing because Commission is abandoning its voluntary approach adopted in Order No. 2000.</w:t>
      </w:r>
    </w:p>
    <w:p>
      <w:pPr>
        <w:pStyle w:val="Normal"/>
        <w:rPr/>
      </w:pPr>
      <w:r>
        <w:rPr/>
      </w:r>
    </w:p>
    <w:p>
      <w:pPr>
        <w:pStyle w:val="Normal"/>
        <w:rPr/>
      </w:pPr>
      <w:r>
        <w:rPr>
          <w:b/>
          <w:bCs/>
        </w:rPr>
        <w:t>Central Electric Power Cooperative</w:t>
      </w:r>
      <w:r>
        <w:rPr/>
        <w:t xml:space="preserve"> (RT01-100; RT01-74)</w:t>
      </w:r>
    </w:p>
    <w:p>
      <w:pPr>
        <w:pStyle w:val="Normal"/>
        <w:rPr/>
      </w:pPr>
      <w:r>
        <w:rPr/>
      </w:r>
    </w:p>
    <w:p>
      <w:pPr>
        <w:pStyle w:val="Normal"/>
        <w:numPr>
          <w:ilvl w:val="0"/>
          <w:numId w:val="2"/>
        </w:numPr>
        <w:rPr/>
      </w:pPr>
      <w:r>
        <w:rPr/>
        <w:t>Southeast RTO proposed by FERC does not meet Order No. 2000 scope requirements</w:t>
      </w:r>
    </w:p>
    <w:p>
      <w:pPr>
        <w:pStyle w:val="Normal"/>
        <w:numPr>
          <w:ilvl w:val="0"/>
          <w:numId w:val="2"/>
        </w:numPr>
        <w:rPr/>
      </w:pPr>
      <w:r>
        <w:rPr/>
        <w:t>for-profit, transmission-owning RTO is inconsistent with the needs of the region’s public power entities</w:t>
      </w:r>
    </w:p>
    <w:p>
      <w:pPr>
        <w:pStyle w:val="Normal"/>
        <w:rPr/>
      </w:pPr>
      <w:r>
        <w:rPr/>
      </w:r>
    </w:p>
    <w:p>
      <w:pPr>
        <w:pStyle w:val="Normal"/>
        <w:rPr/>
      </w:pPr>
      <w:r>
        <w:rPr>
          <w:b/>
          <w:bCs/>
        </w:rPr>
        <w:t xml:space="preserve">South Carolina Gas &amp; Electric </w:t>
      </w:r>
      <w:r>
        <w:rPr/>
        <w:t xml:space="preserve">(RT01-74):  Request for rehearing </w:t>
      </w:r>
      <w:r>
        <w:rPr>
          <w:b/>
          <w:bCs/>
        </w:rPr>
        <w:t>and stay</w:t>
      </w:r>
      <w:r>
        <w:rPr/>
        <w:t>.</w:t>
      </w:r>
    </w:p>
    <w:p>
      <w:pPr>
        <w:pStyle w:val="Normal"/>
        <w:rPr/>
      </w:pPr>
      <w:r>
        <w:rPr/>
      </w:r>
    </w:p>
    <w:p>
      <w:pPr>
        <w:pStyle w:val="Normal"/>
        <w:numPr>
          <w:ilvl w:val="0"/>
          <w:numId w:val="2"/>
        </w:numPr>
        <w:rPr/>
      </w:pPr>
      <w:r>
        <w:rPr/>
        <w:t>FERC erred by requiring that GridSouth Applicants non-voluntarily seat the GridSouth Independent Board and allow that Board to speak, in lieu of Applicants, with respect to GridSouth.</w:t>
      </w:r>
    </w:p>
    <w:p>
      <w:pPr>
        <w:pStyle w:val="Normal"/>
        <w:numPr>
          <w:ilvl w:val="0"/>
          <w:numId w:val="2"/>
        </w:numPr>
        <w:rPr/>
      </w:pPr>
      <w:r>
        <w:rPr/>
        <w:t>GridSouth Board should not be seated until the transmission owners are prepared to transfer operation control of their transmission to GridSouth.</w:t>
      </w:r>
    </w:p>
    <w:p>
      <w:pPr>
        <w:pStyle w:val="Normal"/>
        <w:rPr/>
      </w:pPr>
      <w:r>
        <w:rPr/>
      </w:r>
    </w:p>
    <w:p>
      <w:pPr>
        <w:pStyle w:val="Normal"/>
        <w:rPr/>
      </w:pPr>
      <w:r>
        <w:rPr>
          <w:b/>
          <w:bCs/>
        </w:rPr>
        <w:t>Carolina Power &amp; Light, et al (GridSouth Applicants)</w:t>
      </w:r>
      <w:r>
        <w:rPr/>
        <w:t xml:space="preserve"> (RT01-74; RT01-72):  Request for rehearing </w:t>
      </w:r>
      <w:r>
        <w:rPr>
          <w:b/>
          <w:bCs/>
        </w:rPr>
        <w:t>and stay.</w:t>
      </w:r>
    </w:p>
    <w:p>
      <w:pPr>
        <w:pStyle w:val="Normal"/>
        <w:rPr/>
      </w:pPr>
      <w:r>
        <w:rPr/>
      </w:r>
    </w:p>
    <w:p>
      <w:pPr>
        <w:pStyle w:val="Normal"/>
        <w:numPr>
          <w:ilvl w:val="0"/>
          <w:numId w:val="2"/>
        </w:numPr>
        <w:rPr/>
      </w:pPr>
      <w:r>
        <w:rPr/>
        <w:t>Board installation should be postponed until all final regulatory approvals have been obtained (including authorization to transfer assets).</w:t>
      </w:r>
    </w:p>
    <w:p>
      <w:pPr>
        <w:pStyle w:val="Normal"/>
        <w:numPr>
          <w:ilvl w:val="0"/>
          <w:numId w:val="2"/>
        </w:numPr>
        <w:rPr/>
      </w:pPr>
      <w:r>
        <w:rPr/>
        <w:t>requests rehearing on Commission’s requirement of removal of GridSouth COO and requirement that one Board seat be filled by non-profit representative</w:t>
      </w:r>
    </w:p>
    <w:p>
      <w:pPr>
        <w:pStyle w:val="Normal"/>
        <w:rPr/>
      </w:pPr>
      <w:r>
        <w:rPr/>
      </w:r>
    </w:p>
    <w:p>
      <w:pPr>
        <w:pStyle w:val="Normal"/>
        <w:rPr/>
      </w:pPr>
      <w:r>
        <w:rPr>
          <w:b/>
          <w:bCs/>
        </w:rPr>
        <w:t>Entergy Services, Inc.</w:t>
      </w:r>
      <w:r>
        <w:rPr/>
        <w:t xml:space="preserve"> (RT01-75)</w:t>
      </w:r>
    </w:p>
    <w:p>
      <w:pPr>
        <w:pStyle w:val="Normal"/>
        <w:rPr/>
      </w:pPr>
      <w:r>
        <w:rPr/>
      </w:r>
    </w:p>
    <w:p>
      <w:pPr>
        <w:pStyle w:val="Normal"/>
        <w:rPr/>
      </w:pPr>
      <w:r>
        <w:rPr/>
        <w:t>Claims FERC erred by:</w:t>
      </w:r>
    </w:p>
    <w:p>
      <w:pPr>
        <w:pStyle w:val="Normal"/>
        <w:numPr>
          <w:ilvl w:val="0"/>
          <w:numId w:val="2"/>
        </w:numPr>
        <w:rPr/>
      </w:pPr>
      <w:r>
        <w:rPr/>
        <w:t>incorrectly applying Order No. 2000’s scope and configuration requirements</w:t>
      </w:r>
    </w:p>
    <w:p>
      <w:pPr>
        <w:pStyle w:val="Normal"/>
        <w:numPr>
          <w:ilvl w:val="0"/>
          <w:numId w:val="2"/>
        </w:numPr>
        <w:rPr/>
      </w:pPr>
      <w:r>
        <w:rPr/>
        <w:t>dismissing Entergy’s Section 203 application to transfer control of its transmission facilities to the Transco</w:t>
      </w:r>
    </w:p>
    <w:p>
      <w:pPr>
        <w:pStyle w:val="Normal"/>
        <w:rPr/>
      </w:pPr>
      <w:r>
        <w:rPr/>
      </w:r>
    </w:p>
    <w:p>
      <w:pPr>
        <w:pStyle w:val="Normal"/>
        <w:rPr/>
      </w:pPr>
      <w:r>
        <w:rPr>
          <w:b/>
          <w:bCs/>
        </w:rPr>
        <w:t>Southwest Power Pool</w:t>
      </w:r>
      <w:r>
        <w:rPr/>
        <w:t xml:space="preserve"> (RT01-34; RT01-75)</w:t>
      </w:r>
    </w:p>
    <w:p>
      <w:pPr>
        <w:pStyle w:val="Normal"/>
        <w:rPr/>
      </w:pPr>
      <w:r>
        <w:rPr/>
      </w:r>
    </w:p>
    <w:p>
      <w:pPr>
        <w:pStyle w:val="Normal"/>
        <w:rPr/>
      </w:pPr>
      <w:r>
        <w:rPr/>
        <w:t>Claims FERC erred by:</w:t>
      </w:r>
    </w:p>
    <w:p>
      <w:pPr>
        <w:pStyle w:val="Normal"/>
        <w:numPr>
          <w:ilvl w:val="0"/>
          <w:numId w:val="2"/>
        </w:numPr>
        <w:rPr/>
      </w:pPr>
      <w:r>
        <w:rPr/>
        <w:t>finding that the natural market may exceed SPP-Entergy</w:t>
      </w:r>
    </w:p>
    <w:p>
      <w:pPr>
        <w:pStyle w:val="Normal"/>
        <w:numPr>
          <w:ilvl w:val="0"/>
          <w:numId w:val="2"/>
        </w:numPr>
        <w:rPr/>
      </w:pPr>
      <w:r>
        <w:rPr/>
        <w:t>failing to consider alternatives such as a structure that encompasses the Midwest and Southeast, or adoption of the ARTO-MISO settlement</w:t>
      </w:r>
    </w:p>
    <w:p>
      <w:pPr>
        <w:pStyle w:val="Normal"/>
        <w:numPr>
          <w:ilvl w:val="0"/>
          <w:numId w:val="2"/>
        </w:numPr>
        <w:rPr/>
      </w:pPr>
      <w:r>
        <w:rPr/>
        <w:t>issuing an order that is inconsistent with prior orders</w:t>
      </w:r>
    </w:p>
    <w:p>
      <w:pPr>
        <w:pStyle w:val="Normal"/>
        <w:rPr/>
      </w:pPr>
      <w:r>
        <w:rPr/>
      </w:r>
    </w:p>
    <w:p>
      <w:pPr>
        <w:pStyle w:val="Normal"/>
        <w:rPr/>
      </w:pPr>
      <w:r>
        <w:rPr>
          <w:b/>
          <w:bCs/>
        </w:rPr>
        <w:t xml:space="preserve">Arkansas Electric Cooperative Corporation </w:t>
      </w:r>
      <w:r>
        <w:rPr/>
        <w:t>(RT01-34; RT01-75)</w:t>
      </w:r>
    </w:p>
    <w:p>
      <w:pPr>
        <w:pStyle w:val="Normal"/>
        <w:rPr/>
      </w:pPr>
      <w:r>
        <w:rPr/>
      </w:r>
    </w:p>
    <w:p>
      <w:pPr>
        <w:pStyle w:val="Normal"/>
        <w:numPr>
          <w:ilvl w:val="0"/>
          <w:numId w:val="2"/>
        </w:numPr>
        <w:rPr/>
      </w:pPr>
      <w:r>
        <w:rPr/>
        <w:t>Rejection of SPP RTO is inconsistent with prior orders</w:t>
      </w:r>
    </w:p>
    <w:p>
      <w:pPr>
        <w:pStyle w:val="Normal"/>
        <w:numPr>
          <w:ilvl w:val="0"/>
          <w:numId w:val="2"/>
        </w:numPr>
        <w:rPr/>
      </w:pPr>
      <w:r>
        <w:rPr/>
        <w:t>FERC erred in concluding that the SPP RTO does not comprehend a natural market.</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2001-08-21T13:16:00Z</dcterms:created>
  <dc:creator>Susan Lindberg</dc:creator>
  <dc:description/>
  <dc:language>en-CA</dc:language>
  <cp:lastModifiedBy>Susan Lindberg</cp:lastModifiedBy>
  <dcterms:modified xsi:type="dcterms:W3CDTF">2001-08-22T16:09:00Z</dcterms:modified>
  <cp:revision>4</cp:revision>
  <dc:subject/>
  <dc:title>Public Service Commission of South Carolina</dc:title>
</cp:coreProperties>
</file>