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ZapfHumnst BT" w:hAnsi="ZapfHumnst BT" w:cs="ZapfHumnst BT"/>
          <w:sz w:val="28"/>
        </w:rPr>
      </w:pPr>
      <w:r>
        <w:rPr>
          <w:rFonts w:cs="ZapfHumnst BT" w:ascii="ZapfHumnst BT" w:hAnsi="ZapfHumnst BT"/>
          <w:sz w:val="28"/>
        </w:rPr>
        <w:t>Enron</w:t>
      </w:r>
    </w:p>
    <w:p>
      <w:pPr>
        <w:pStyle w:val="Normal"/>
        <w:jc w:val="center"/>
        <w:rPr>
          <w:sz w:val="24"/>
        </w:rPr>
      </w:pPr>
      <w:r>
        <w:rPr>
          <w:rFonts w:cs="ZapfHumnst BT" w:ascii="ZapfHumnst BT" w:hAnsi="ZapfHumnst BT"/>
          <w:sz w:val="28"/>
        </w:rPr>
        <w:t>Project Funding Request</w:t>
      </w:r>
    </w:p>
    <w:p>
      <w:pPr>
        <w:pStyle w:val="Normal"/>
        <w:jc w:val="center"/>
        <w:rPr>
          <w:sz w:val="24"/>
        </w:rPr>
      </w:pPr>
      <w:r>
        <w:rPr>
          <w:sz w:val="24"/>
        </w:rPr>
      </w:r>
    </w:p>
    <w:p>
      <w:pPr>
        <w:pStyle w:val="Normal"/>
        <w:jc w:val="center"/>
        <w:rPr>
          <w:sz w:val="24"/>
        </w:rPr>
      </w:pPr>
      <w:r>
        <w:rPr>
          <w:sz w:val="24"/>
        </w:rPr>
        <w:t>Tabors Caramanis &amp; Associates</w:t>
      </w:r>
    </w:p>
    <w:p>
      <w:pPr>
        <w:pStyle w:val="Normal"/>
        <w:jc w:val="center"/>
        <w:rPr>
          <w:sz w:val="24"/>
        </w:rPr>
      </w:pPr>
      <w:r>
        <w:rPr>
          <w:sz w:val="24"/>
        </w:rPr>
      </w:r>
    </w:p>
    <w:p>
      <w:pPr>
        <w:pStyle w:val="Normal"/>
        <w:jc w:val="center"/>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rPr>
          <w:sz w:val="24"/>
        </w:rPr>
      </w:pPr>
      <w:r>
        <w:rPr>
          <w:sz w:val="24"/>
        </w:rPr>
      </w:r>
    </w:p>
    <w:p>
      <w:pPr>
        <w:pStyle w:val="Normal"/>
        <w:rPr>
          <w:sz w:val="24"/>
        </w:rPr>
      </w:pPr>
      <w:r>
        <w:rPr>
          <w:sz w:val="24"/>
        </w:rPr>
        <w:t>Title:</w:t>
        <w:tab/>
        <w:tab/>
        <w:t>RTO/W Natural Markets Study</w:t>
      </w:r>
    </w:p>
    <w:p>
      <w:pPr>
        <w:pStyle w:val="Normal"/>
        <w:rPr>
          <w:sz w:val="24"/>
        </w:rPr>
      </w:pPr>
      <w:r>
        <w:rPr>
          <w:sz w:val="24"/>
        </w:rPr>
      </w:r>
    </w:p>
    <w:p>
      <w:pPr>
        <w:pStyle w:val="Normal"/>
        <w:rPr>
          <w:sz w:val="24"/>
        </w:rPr>
      </w:pPr>
      <w:r>
        <w:rPr>
          <w:sz w:val="24"/>
        </w:rPr>
        <w:t>Objective:</w:t>
        <w:tab/>
        <w:t>The objective of this effort is to identify the “natural trading markets” of the WSCC.  The analysis to be undertaken is directly parallel to the effort of TCA in analysis of the Alliance territory, the Northeast and the Southeast.  Two of these resulted in filed Affidavits by Judith Cardell.  TCA will apply the same methodology to determining the trading areas of the WSCC.  This analysis will be carried out in advance of the final analyses of the RTOs of the WSCC in order to argue for a logical set of (or single) RTO for that area.  The work will coordinate directly with that of the RTO west Benefit Cost study.</w:t>
      </w:r>
    </w:p>
    <w:p>
      <w:pPr>
        <w:pStyle w:val="Normal"/>
        <w:rPr>
          <w:sz w:val="24"/>
        </w:rPr>
      </w:pPr>
      <w:r>
        <w:rPr>
          <w:sz w:val="24"/>
        </w:rPr>
      </w:r>
    </w:p>
    <w:p>
      <w:pPr>
        <w:pStyle w:val="Normal"/>
        <w:rPr>
          <w:sz w:val="24"/>
        </w:rPr>
      </w:pPr>
      <w:r>
        <w:rPr>
          <w:sz w:val="24"/>
        </w:rPr>
        <w:t>Task Statement:</w:t>
      </w:r>
    </w:p>
    <w:p>
      <w:pPr>
        <w:pStyle w:val="Normal"/>
        <w:numPr>
          <w:ilvl w:val="0"/>
          <w:numId w:val="1"/>
        </w:numPr>
        <w:rPr>
          <w:sz w:val="24"/>
        </w:rPr>
      </w:pPr>
      <w:r>
        <w:rPr>
          <w:sz w:val="24"/>
        </w:rPr>
        <w:t>Develop the data base for use in PowerWorld to identify the transactional flows on transmission in the WSCC.</w:t>
      </w:r>
    </w:p>
    <w:p>
      <w:pPr>
        <w:pStyle w:val="Normal"/>
        <w:numPr>
          <w:ilvl w:val="0"/>
          <w:numId w:val="1"/>
        </w:numPr>
        <w:rPr>
          <w:sz w:val="24"/>
        </w:rPr>
      </w:pPr>
      <w:r>
        <w:rPr>
          <w:sz w:val="24"/>
        </w:rPr>
        <w:t>Analyze current power flows in WSCC.</w:t>
      </w:r>
    </w:p>
    <w:p>
      <w:pPr>
        <w:pStyle w:val="Normal"/>
        <w:numPr>
          <w:ilvl w:val="0"/>
          <w:numId w:val="1"/>
        </w:numPr>
        <w:rPr>
          <w:sz w:val="24"/>
        </w:rPr>
      </w:pPr>
      <w:r>
        <w:rPr>
          <w:sz w:val="24"/>
        </w:rPr>
        <w:t>Evaluate trading partners / patterns in WSCC as reported from public sources and available through PowerDat database resident at TCA.</w:t>
      </w:r>
    </w:p>
    <w:p>
      <w:pPr>
        <w:pStyle w:val="Normal"/>
        <w:numPr>
          <w:ilvl w:val="0"/>
          <w:numId w:val="1"/>
        </w:numPr>
        <w:rPr>
          <w:sz w:val="24"/>
        </w:rPr>
      </w:pPr>
      <w:r>
        <w:rPr>
          <w:sz w:val="24"/>
        </w:rPr>
        <w:t>Define logical RTO boundaries for analysis in Western RTO Cost Benefit study</w:t>
      </w:r>
    </w:p>
    <w:p>
      <w:pPr>
        <w:pStyle w:val="Normal"/>
        <w:rPr>
          <w:sz w:val="24"/>
        </w:rPr>
      </w:pPr>
      <w:r>
        <w:rPr>
          <w:sz w:val="24"/>
        </w:rPr>
        <w:t xml:space="preserve">Deliverable:  </w:t>
      </w:r>
    </w:p>
    <w:p>
      <w:pPr>
        <w:pStyle w:val="Normal"/>
        <w:numPr>
          <w:ilvl w:val="0"/>
          <w:numId w:val="2"/>
        </w:numPr>
        <w:rPr>
          <w:sz w:val="24"/>
        </w:rPr>
      </w:pPr>
      <w:r>
        <w:rPr>
          <w:sz w:val="24"/>
        </w:rPr>
        <w:t>Final report for application to Western RTO evaluation</w:t>
      </w:r>
    </w:p>
    <w:p>
      <w:pPr>
        <w:pStyle w:val="Normal"/>
        <w:numPr>
          <w:ilvl w:val="0"/>
          <w:numId w:val="2"/>
        </w:numPr>
        <w:rPr>
          <w:sz w:val="24"/>
        </w:rPr>
      </w:pPr>
      <w:r>
        <w:rPr>
          <w:sz w:val="24"/>
        </w:rPr>
        <w:t>Materials for press releases and presentations</w:t>
      </w:r>
    </w:p>
    <w:p>
      <w:pPr>
        <w:pStyle w:val="Normal"/>
        <w:rPr>
          <w:sz w:val="24"/>
        </w:rPr>
      </w:pPr>
      <w:r>
        <w:rPr>
          <w:sz w:val="24"/>
        </w:rPr>
      </w:r>
    </w:p>
    <w:p>
      <w:pPr>
        <w:pStyle w:val="Normal"/>
        <w:rPr>
          <w:sz w:val="24"/>
        </w:rPr>
      </w:pPr>
      <w:r>
        <w:rPr>
          <w:sz w:val="24"/>
        </w:rPr>
      </w:r>
    </w:p>
    <w:p>
      <w:pPr>
        <w:pStyle w:val="Normal"/>
        <w:rPr>
          <w:sz w:val="24"/>
        </w:rPr>
      </w:pPr>
      <w:r>
        <w:rPr>
          <w:sz w:val="24"/>
        </w:rPr>
        <w:t>Duration: Maximum 3 weeks from date of approval</w:t>
      </w:r>
    </w:p>
    <w:p>
      <w:pPr>
        <w:pStyle w:val="Normal"/>
        <w:rPr>
          <w:sz w:val="24"/>
        </w:rPr>
      </w:pPr>
      <w:r>
        <w:rPr>
          <w:sz w:val="24"/>
        </w:rPr>
      </w:r>
    </w:p>
    <w:p>
      <w:pPr>
        <w:pStyle w:val="Normal"/>
        <w:rPr>
          <w:sz w:val="24"/>
        </w:rPr>
      </w:pPr>
      <w:r>
        <w:rPr>
          <w:sz w:val="24"/>
        </w:rPr>
        <w:t>Personnel:</w:t>
        <w:tab/>
        <w:t>Project Leader: Judith Cardell</w:t>
      </w:r>
    </w:p>
    <w:p>
      <w:pPr>
        <w:pStyle w:val="Normal"/>
        <w:rPr>
          <w:sz w:val="24"/>
        </w:rPr>
      </w:pPr>
      <w:r>
        <w:rPr>
          <w:sz w:val="24"/>
        </w:rPr>
        <w:tab/>
        <w:tab/>
        <w:t>Peter Capozzoli</w:t>
      </w:r>
    </w:p>
    <w:p>
      <w:pPr>
        <w:pStyle w:val="Normal"/>
        <w:rPr>
          <w:sz w:val="24"/>
        </w:rPr>
      </w:pPr>
      <w:r>
        <w:rPr>
          <w:sz w:val="24"/>
        </w:rPr>
        <w:tab/>
        <w:tab/>
        <w:t>Alex Rudkevich</w:t>
      </w:r>
    </w:p>
    <w:p>
      <w:pPr>
        <w:pStyle w:val="Normal"/>
        <w:rPr>
          <w:sz w:val="24"/>
        </w:rPr>
      </w:pPr>
      <w:r>
        <w:rPr>
          <w:sz w:val="24"/>
        </w:rPr>
        <w:tab/>
        <w:tab/>
        <w:t>Bruce Tsuchida</w:t>
      </w:r>
    </w:p>
    <w:p>
      <w:pPr>
        <w:pStyle w:val="Normal"/>
        <w:rPr>
          <w:sz w:val="24"/>
        </w:rPr>
      </w:pPr>
      <w:r>
        <w:rPr>
          <w:sz w:val="24"/>
        </w:rPr>
        <w:tab/>
        <w:tab/>
      </w:r>
    </w:p>
    <w:p>
      <w:pPr>
        <w:pStyle w:val="Normal"/>
        <w:rPr>
          <w:sz w:val="24"/>
        </w:rPr>
      </w:pPr>
      <w:r>
        <w:rPr>
          <w:sz w:val="24"/>
        </w:rPr>
        <w:tab/>
        <w:tab/>
      </w:r>
    </w:p>
    <w:p>
      <w:pPr>
        <w:pStyle w:val="Normal"/>
        <w:rPr>
          <w:sz w:val="24"/>
        </w:rPr>
      </w:pPr>
      <w:r>
        <w:rPr>
          <w:sz w:val="24"/>
        </w:rPr>
        <w:t xml:space="preserve">Funding Requested: Time and Materials not to exceed </w:t>
      </w:r>
    </w:p>
    <w:p>
      <w:pPr>
        <w:pStyle w:val="Normal"/>
        <w:rPr>
          <w:sz w:val="24"/>
        </w:rPr>
      </w:pPr>
      <w:r>
        <w:rPr>
          <w:sz w:val="24"/>
        </w:rPr>
      </w:r>
    </w:p>
    <w:p>
      <w:pPr>
        <w:pStyle w:val="Normal"/>
        <w:rPr>
          <w:sz w:val="24"/>
        </w:rPr>
      </w:pPr>
      <w:r>
        <w:rPr>
          <w:sz w:val="24"/>
        </w:rPr>
        <w:tab/>
        <w:tab/>
        <w:t>Staff:</w:t>
        <w:tab/>
        <w:tab/>
        <w:t>50,000</w:t>
      </w:r>
    </w:p>
    <w:p>
      <w:pPr>
        <w:pStyle w:val="Normal"/>
        <w:rPr>
          <w:sz w:val="24"/>
        </w:rPr>
      </w:pPr>
      <w:r>
        <w:rPr>
          <w:sz w:val="24"/>
        </w:rPr>
        <w:tab/>
        <w:tab/>
        <w:t>Database</w:t>
        <w:tab/>
        <w:t xml:space="preserve">  5,000   (PowerDat)</w:t>
      </w:r>
    </w:p>
    <w:p>
      <w:pPr>
        <w:pStyle w:val="Normal"/>
        <w:rPr>
          <w:sz w:val="24"/>
        </w:rPr>
      </w:pPr>
      <w:r>
        <w:rPr>
          <w:sz w:val="24"/>
        </w:rPr>
        <w:tab/>
        <w:tab/>
        <w:tab/>
        <w:tab/>
      </w:r>
    </w:p>
    <w:p>
      <w:pPr>
        <w:pStyle w:val="Normal"/>
        <w:rPr>
          <w:sz w:val="24"/>
        </w:rPr>
      </w:pPr>
      <w:r>
        <w:rPr>
          <w:sz w:val="24"/>
        </w:rPr>
        <w:tab/>
        <w:tab/>
        <w:t>Total</w:t>
        <w:tab/>
        <w:t xml:space="preserve">           $55,000</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ZapfHumnst BT">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2001-10-17T09:52:00Z</dcterms:created>
  <dc:creator>Richard Tabors</dc:creator>
  <dc:description/>
  <dc:language>en-CA</dc:language>
  <cp:lastModifiedBy>Richard Tabors</cp:lastModifiedBy>
  <cp:lastPrinted>2000-04-11T12:27:00Z</cp:lastPrinted>
  <dcterms:modified xsi:type="dcterms:W3CDTF">2001-10-17T10:06:00Z</dcterms:modified>
  <cp:revision>5</cp:revision>
  <dc:subject/>
  <dc:title>Enron</dc:title>
</cp:coreProperties>
</file>