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w:t>
      </w:r>
    </w:p>
    <w:p>
      <w:pPr>
        <w:pStyle w:val="Normal"/>
        <w:jc w:val="center"/>
        <w:rPr>
          <w:sz w:val="24"/>
        </w:rPr>
      </w:pPr>
      <w:r>
        <w:rPr>
          <w:sz w:val="24"/>
        </w:rPr>
        <w:t>Project Funding Request</w:t>
      </w:r>
    </w:p>
    <w:p>
      <w:pPr>
        <w:pStyle w:val="Normal"/>
        <w:jc w:val="center"/>
        <w:rPr>
          <w:sz w:val="24"/>
        </w:rPr>
      </w:pPr>
      <w:r>
        <w:rPr>
          <w:sz w:val="24"/>
        </w:rPr>
      </w:r>
    </w:p>
    <w:p>
      <w:pPr>
        <w:pStyle w:val="Normal"/>
        <w:jc w:val="center"/>
        <w:rPr>
          <w:sz w:val="24"/>
        </w:rPr>
      </w:pPr>
      <w:r>
        <w:rPr>
          <w:sz w:val="24"/>
        </w:rPr>
        <w:t>Tabors Caramanis &amp; Associates</w:t>
      </w:r>
    </w:p>
    <w:p>
      <w:pPr>
        <w:pStyle w:val="Normal"/>
        <w:jc w:val="center"/>
        <w:rPr>
          <w:sz w:val="24"/>
        </w:rPr>
      </w:pPr>
      <w:r>
        <w:rPr>
          <w:sz w:val="24"/>
        </w:rPr>
      </w:r>
    </w:p>
    <w:p>
      <w:pPr>
        <w:pStyle w:val="Normal"/>
        <w:jc w:val="cent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r>
    </w:p>
    <w:p>
      <w:pPr>
        <w:pStyle w:val="Normal"/>
        <w:rPr>
          <w:sz w:val="24"/>
        </w:rPr>
      </w:pPr>
      <w:r>
        <w:rPr>
          <w:sz w:val="24"/>
        </w:rPr>
        <w:t>Title:</w:t>
        <w:tab/>
        <w:tab/>
        <w:t>Cost Benefit Study of Proposed Southeast RTO</w:t>
      </w:r>
    </w:p>
    <w:p>
      <w:pPr>
        <w:pStyle w:val="Normal"/>
        <w:rPr>
          <w:sz w:val="24"/>
        </w:rPr>
      </w:pPr>
      <w:r>
        <w:rPr>
          <w:sz w:val="24"/>
        </w:rPr>
      </w:r>
    </w:p>
    <w:p>
      <w:pPr>
        <w:pStyle w:val="Normal"/>
        <w:rPr>
          <w:sz w:val="24"/>
        </w:rPr>
      </w:pPr>
      <w:r>
        <w:rPr>
          <w:sz w:val="24"/>
        </w:rPr>
        <w:t>Objective:</w:t>
        <w:tab/>
        <w:t>Identify the Benefits of the formation of large RTOs in the US.  Specifically identify the benefits of combining the proposed RTOs in the Southeast.  The results of this effort must be comparable to the work of TCA underway for RTO/W and in a parallel proposal that for the area currently being organized as Desert Star.  In addition the effort needs to be additive to that undertaken by Mirant for the Northeast and at the present time (our understanding) for the Midwest.</w:t>
      </w:r>
    </w:p>
    <w:p>
      <w:pPr>
        <w:pStyle w:val="Normal"/>
        <w:rPr>
          <w:sz w:val="24"/>
        </w:rPr>
      </w:pPr>
      <w:r>
        <w:rPr>
          <w:sz w:val="24"/>
        </w:rPr>
      </w:r>
    </w:p>
    <w:p>
      <w:pPr>
        <w:pStyle w:val="Normal"/>
        <w:rPr>
          <w:sz w:val="24"/>
        </w:rPr>
      </w:pPr>
      <w:r>
        <w:rPr>
          <w:sz w:val="24"/>
        </w:rPr>
        <w:t>Task Statement:</w:t>
      </w:r>
    </w:p>
    <w:p>
      <w:pPr>
        <w:pStyle w:val="Normal"/>
        <w:rPr>
          <w:sz w:val="24"/>
        </w:rPr>
      </w:pPr>
      <w:r>
        <w:rPr>
          <w:sz w:val="24"/>
        </w:rPr>
      </w:r>
    </w:p>
    <w:p>
      <w:pPr>
        <w:pStyle w:val="Normal"/>
        <w:numPr>
          <w:ilvl w:val="0"/>
          <w:numId w:val="1"/>
        </w:numPr>
        <w:rPr>
          <w:sz w:val="24"/>
        </w:rPr>
      </w:pPr>
      <w:r>
        <w:rPr>
          <w:sz w:val="24"/>
        </w:rPr>
        <w:t>Define the base case conditions for the Southeast to be consistent with all other studies underway, i.e. starting from no RTO or beginning from the proposed smaller RTO’s.</w:t>
      </w:r>
    </w:p>
    <w:p>
      <w:pPr>
        <w:pStyle w:val="Normal"/>
        <w:numPr>
          <w:ilvl w:val="0"/>
          <w:numId w:val="1"/>
        </w:numPr>
        <w:rPr>
          <w:sz w:val="24"/>
        </w:rPr>
      </w:pPr>
      <w:r>
        <w:rPr>
          <w:sz w:val="24"/>
        </w:rPr>
        <w:t>Confirm data base completeness for the Southeast.</w:t>
      </w:r>
    </w:p>
    <w:p>
      <w:pPr>
        <w:pStyle w:val="Normal"/>
        <w:numPr>
          <w:ilvl w:val="0"/>
          <w:numId w:val="1"/>
        </w:numPr>
        <w:rPr>
          <w:sz w:val="24"/>
        </w:rPr>
      </w:pPr>
      <w:r>
        <w:rPr>
          <w:sz w:val="24"/>
        </w:rPr>
        <w:t>Identify the current transmission rate structures (pancakes) affecting the economics of transactions in the Southeast.</w:t>
      </w:r>
    </w:p>
    <w:p>
      <w:pPr>
        <w:pStyle w:val="Normal"/>
        <w:numPr>
          <w:ilvl w:val="0"/>
          <w:numId w:val="1"/>
        </w:numPr>
        <w:rPr>
          <w:sz w:val="24"/>
        </w:rPr>
      </w:pPr>
      <w:r>
        <w:rPr>
          <w:sz w:val="24"/>
        </w:rPr>
        <w:t>Using GE MAPS calculate the benefits from “perfect competition” by comparing runs with current control area dispatch logics with logic in which there are no impediments to economically efficient trades.</w:t>
      </w:r>
    </w:p>
    <w:p>
      <w:pPr>
        <w:pStyle w:val="Normal"/>
        <w:numPr>
          <w:ilvl w:val="0"/>
          <w:numId w:val="1"/>
        </w:numPr>
        <w:rPr>
          <w:sz w:val="24"/>
        </w:rPr>
      </w:pPr>
      <w:r>
        <w:rPr>
          <w:sz w:val="24"/>
        </w:rPr>
        <w:t>Identify additional quantifiable benefits such as increased reliability through more efficient sharing of resources and elimination of individual utility Transmission Reliability Margins</w:t>
      </w:r>
    </w:p>
    <w:p>
      <w:pPr>
        <w:pStyle w:val="Normal"/>
        <w:numPr>
          <w:ilvl w:val="0"/>
          <w:numId w:val="1"/>
        </w:numPr>
        <w:rPr>
          <w:sz w:val="24"/>
        </w:rPr>
      </w:pPr>
      <w:r>
        <w:rPr>
          <w:sz w:val="24"/>
        </w:rPr>
        <w:t>Identify and list non-quantifiable benefits</w:t>
      </w:r>
    </w:p>
    <w:p>
      <w:pPr>
        <w:pStyle w:val="Normal"/>
        <w:numPr>
          <w:ilvl w:val="0"/>
          <w:numId w:val="1"/>
        </w:numPr>
        <w:rPr>
          <w:sz w:val="24"/>
        </w:rPr>
      </w:pPr>
      <w:r>
        <w:rPr>
          <w:sz w:val="24"/>
        </w:rPr>
        <w:t>Carry out Benchmark analysis of cost of establishment of RTOs</w:t>
      </w:r>
    </w:p>
    <w:p>
      <w:pPr>
        <w:pStyle w:val="Normal"/>
        <w:numPr>
          <w:ilvl w:val="0"/>
          <w:numId w:val="1"/>
        </w:numPr>
        <w:rPr>
          <w:sz w:val="24"/>
        </w:rPr>
      </w:pPr>
      <w:r>
        <w:rPr>
          <w:sz w:val="24"/>
        </w:rPr>
        <w:t>Identify and list non-quantifiable costs</w:t>
      </w:r>
    </w:p>
    <w:p>
      <w:pPr>
        <w:pStyle w:val="Normal"/>
        <w:numPr>
          <w:ilvl w:val="0"/>
          <w:numId w:val="1"/>
        </w:numPr>
        <w:rPr>
          <w:sz w:val="24"/>
        </w:rPr>
      </w:pPr>
      <w:r>
        <w:rPr>
          <w:sz w:val="24"/>
        </w:rPr>
        <w:t>Coordinate effort with Mirant consultants for comparability.</w:t>
      </w:r>
    </w:p>
    <w:p>
      <w:pPr>
        <w:pStyle w:val="Normal"/>
        <w:rPr>
          <w:sz w:val="24"/>
        </w:rPr>
      </w:pPr>
      <w:r>
        <w:rPr>
          <w:sz w:val="24"/>
        </w:rPr>
      </w:r>
    </w:p>
    <w:p>
      <w:pPr>
        <w:pStyle w:val="Normal"/>
        <w:rPr>
          <w:sz w:val="24"/>
        </w:rPr>
      </w:pPr>
      <w:r>
        <w:rPr>
          <w:sz w:val="24"/>
        </w:rPr>
        <w:t xml:space="preserve">Deliverable:  </w:t>
      </w:r>
    </w:p>
    <w:p>
      <w:pPr>
        <w:pStyle w:val="Normal"/>
        <w:numPr>
          <w:ilvl w:val="0"/>
          <w:numId w:val="2"/>
        </w:numPr>
        <w:rPr>
          <w:sz w:val="24"/>
        </w:rPr>
      </w:pPr>
      <w:r>
        <w:rPr>
          <w:sz w:val="24"/>
        </w:rPr>
        <w:t>Final report for integration into national numbers</w:t>
      </w:r>
    </w:p>
    <w:p>
      <w:pPr>
        <w:pStyle w:val="Normal"/>
        <w:numPr>
          <w:ilvl w:val="0"/>
          <w:numId w:val="2"/>
        </w:numPr>
        <w:rPr>
          <w:sz w:val="24"/>
        </w:rPr>
      </w:pPr>
      <w:r>
        <w:rPr>
          <w:sz w:val="24"/>
        </w:rPr>
        <w:t>Materials for press releases and presentations</w:t>
      </w:r>
    </w:p>
    <w:p>
      <w:pPr>
        <w:pStyle w:val="Normal"/>
        <w:rPr>
          <w:sz w:val="24"/>
        </w:rPr>
      </w:pPr>
      <w:r>
        <w:rPr>
          <w:sz w:val="24"/>
        </w:rPr>
      </w:r>
    </w:p>
    <w:p>
      <w:pPr>
        <w:pStyle w:val="Normal"/>
        <w:rPr>
          <w:sz w:val="24"/>
        </w:rPr>
      </w:pPr>
      <w:r>
        <w:rPr>
          <w:sz w:val="24"/>
        </w:rPr>
      </w:r>
    </w:p>
    <w:p>
      <w:pPr>
        <w:pStyle w:val="Normal"/>
        <w:rPr>
          <w:sz w:val="24"/>
        </w:rPr>
      </w:pPr>
      <w:r>
        <w:rPr>
          <w:sz w:val="24"/>
        </w:rPr>
        <w:t>Duration: Maximum 8 weeks from date of approval</w:t>
      </w:r>
    </w:p>
    <w:p>
      <w:pPr>
        <w:pStyle w:val="Normal"/>
        <w:rPr>
          <w:sz w:val="24"/>
        </w:rPr>
      </w:pPr>
      <w:r>
        <w:rPr>
          <w:sz w:val="24"/>
        </w:rPr>
      </w:r>
    </w:p>
    <w:p>
      <w:pPr>
        <w:pStyle w:val="Normal"/>
        <w:rPr>
          <w:sz w:val="24"/>
        </w:rPr>
      </w:pPr>
      <w:r>
        <w:rPr>
          <w:sz w:val="24"/>
        </w:rPr>
        <w:t>Personnel:</w:t>
        <w:tab/>
        <w:t>Project Leader: Judith Cardell</w:t>
      </w:r>
    </w:p>
    <w:p>
      <w:pPr>
        <w:pStyle w:val="Normal"/>
        <w:rPr>
          <w:sz w:val="24"/>
        </w:rPr>
      </w:pPr>
      <w:r>
        <w:rPr>
          <w:sz w:val="24"/>
        </w:rPr>
        <w:tab/>
        <w:tab/>
        <w:t>Alex Rudkevich</w:t>
      </w:r>
    </w:p>
    <w:p>
      <w:pPr>
        <w:pStyle w:val="Normal"/>
        <w:rPr>
          <w:sz w:val="24"/>
        </w:rPr>
      </w:pPr>
      <w:r>
        <w:rPr>
          <w:sz w:val="24"/>
        </w:rPr>
        <w:tab/>
        <w:tab/>
        <w:t>Assef Zobian</w:t>
      </w:r>
    </w:p>
    <w:p>
      <w:pPr>
        <w:pStyle w:val="Normal"/>
        <w:rPr>
          <w:sz w:val="24"/>
        </w:rPr>
      </w:pPr>
      <w:r>
        <w:rPr>
          <w:sz w:val="24"/>
        </w:rPr>
        <w:tab/>
        <w:tab/>
        <w:t>Peter Capozzoli</w:t>
      </w:r>
    </w:p>
    <w:p>
      <w:pPr>
        <w:pStyle w:val="Normal"/>
        <w:rPr>
          <w:sz w:val="24"/>
        </w:rPr>
      </w:pPr>
      <w:r>
        <w:rPr>
          <w:sz w:val="24"/>
        </w:rPr>
        <w:tab/>
        <w:tab/>
        <w:t>Leslie Liu</w:t>
      </w:r>
    </w:p>
    <w:p>
      <w:pPr>
        <w:pStyle w:val="Normal"/>
        <w:rPr>
          <w:sz w:val="24"/>
        </w:rPr>
      </w:pPr>
      <w:r>
        <w:rPr>
          <w:sz w:val="24"/>
        </w:rPr>
        <w:tab/>
        <w:tab/>
      </w:r>
    </w:p>
    <w:p>
      <w:pPr>
        <w:pStyle w:val="Normal"/>
        <w:rPr>
          <w:sz w:val="24"/>
        </w:rPr>
      </w:pPr>
      <w:r>
        <w:rPr>
          <w:sz w:val="24"/>
        </w:rPr>
        <w:t xml:space="preserve">Funding Requested: Time and Materials not to exceed </w:t>
      </w:r>
    </w:p>
    <w:p>
      <w:pPr>
        <w:pStyle w:val="Normal"/>
        <w:rPr>
          <w:sz w:val="24"/>
        </w:rPr>
      </w:pPr>
      <w:r>
        <w:rPr>
          <w:sz w:val="24"/>
        </w:rPr>
      </w:r>
    </w:p>
    <w:p>
      <w:pPr>
        <w:pStyle w:val="Normal"/>
        <w:rPr>
          <w:sz w:val="24"/>
        </w:rPr>
      </w:pPr>
      <w:r>
        <w:rPr>
          <w:sz w:val="24"/>
        </w:rPr>
        <w:tab/>
        <w:tab/>
        <w:t>Staff:</w:t>
        <w:tab/>
        <w:tab/>
        <w:t>60,000</w:t>
      </w:r>
    </w:p>
    <w:p>
      <w:pPr>
        <w:pStyle w:val="Normal"/>
        <w:rPr>
          <w:sz w:val="24"/>
        </w:rPr>
      </w:pPr>
      <w:r>
        <w:rPr>
          <w:sz w:val="24"/>
        </w:rPr>
        <w:tab/>
        <w:tab/>
        <w:t>Database</w:t>
        <w:tab/>
        <w:t>Already owned by Enron (see below)</w:t>
      </w:r>
    </w:p>
    <w:p>
      <w:pPr>
        <w:pStyle w:val="Normal"/>
        <w:rPr>
          <w:sz w:val="24"/>
        </w:rPr>
      </w:pPr>
      <w:r>
        <w:rPr>
          <w:sz w:val="24"/>
        </w:rPr>
        <w:tab/>
        <w:tab/>
        <w:t>GE MAPS</w:t>
        <w:tab/>
        <w:t xml:space="preserve">  6,000</w:t>
      </w:r>
    </w:p>
    <w:p>
      <w:pPr>
        <w:pStyle w:val="Normal"/>
        <w:rPr>
          <w:sz w:val="24"/>
        </w:rPr>
      </w:pPr>
      <w:r>
        <w:rPr>
          <w:sz w:val="24"/>
        </w:rPr>
        <w:tab/>
        <w:tab/>
      </w:r>
    </w:p>
    <w:p>
      <w:pPr>
        <w:pStyle w:val="Normal"/>
        <w:rPr>
          <w:sz w:val="24"/>
        </w:rPr>
      </w:pPr>
      <w:r>
        <w:rPr>
          <w:sz w:val="24"/>
        </w:rPr>
        <w:tab/>
        <w:tab/>
        <w:t>Total</w:t>
        <w:tab/>
        <w:t xml:space="preserve">          $66,000</w:t>
      </w:r>
    </w:p>
    <w:p>
      <w:pPr>
        <w:pStyle w:val="Normal"/>
        <w:rPr>
          <w:sz w:val="24"/>
        </w:rPr>
      </w:pPr>
      <w:r>
        <w:rPr>
          <w:sz w:val="24"/>
        </w:rPr>
      </w:r>
    </w:p>
    <w:p>
      <w:pPr>
        <w:pStyle w:val="Normal"/>
        <w:rPr>
          <w:sz w:val="24"/>
        </w:rPr>
      </w:pPr>
      <w:r>
        <w:rPr>
          <w:sz w:val="24"/>
        </w:rPr>
        <w:t>NOTE:  This assumes that Enron has already purchased the Southeast database as part of another project.  This is being confirmed.  If this is not the case, the cost of an incremental single database is $10,000 that will be added to the project cost.  We have assumed 6 scenario runs using GE MAPS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2001-10-17T09:12:00Z</dcterms:created>
  <dc:creator>Richard Tabors</dc:creator>
  <dc:description/>
  <dc:language>en-CA</dc:language>
  <cp:lastModifiedBy>Richard Tabors</cp:lastModifiedBy>
  <cp:lastPrinted>2000-04-11T12:27:00Z</cp:lastPrinted>
  <dcterms:modified xsi:type="dcterms:W3CDTF">2001-10-17T09:52:00Z</dcterms:modified>
  <cp:revision>7</cp:revision>
  <dc:subject/>
  <dc:title>Enron</dc:title>
</cp:coreProperties>
</file>