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rPr>
      </w:pPr>
      <w:r>
        <w:rPr>
          <w:sz w:val="32"/>
        </w:rPr>
        <w:t>FERC July 12, 2001 Orders on RTO Development</w:t>
      </w:r>
    </w:p>
    <w:p>
      <w:pPr>
        <w:pStyle w:val="Normal"/>
        <w:jc w:val="center"/>
        <w:rPr>
          <w:sz w:val="32"/>
        </w:rPr>
      </w:pPr>
      <w:r>
        <w:rPr>
          <w:sz w:val="32"/>
        </w:rPr>
      </w:r>
    </w:p>
    <w:p>
      <w:pPr>
        <w:pStyle w:val="Normal"/>
        <w:jc w:val="center"/>
        <w:rPr>
          <w:sz w:val="32"/>
        </w:rPr>
      </w:pPr>
      <w:r>
        <w:rPr>
          <w:sz w:val="32"/>
        </w:rPr>
        <w:t>A Briefing Paper by Enron Corp.</w:t>
      </w:r>
    </w:p>
    <w:p>
      <w:pPr>
        <w:pStyle w:val="Normal"/>
        <w:jc w:val="center"/>
        <w:rPr>
          <w:sz w:val="32"/>
        </w:rPr>
      </w:pPr>
      <w:r>
        <w:rPr>
          <w:sz w:val="32"/>
        </w:rPr>
        <w:t>July 23, 2001</w:t>
      </w:r>
    </w:p>
    <w:p>
      <w:pPr>
        <w:pStyle w:val="Normal"/>
        <w:jc w:val="center"/>
        <w:rPr>
          <w:sz w:val="32"/>
        </w:rPr>
      </w:pPr>
      <w:r>
        <w:rPr>
          <w:sz w:val="32"/>
        </w:rPr>
      </w:r>
    </w:p>
    <w:p>
      <w:pPr>
        <w:pStyle w:val="Normal"/>
        <w:jc w:val="center"/>
        <w:rPr>
          <w:sz w:val="32"/>
        </w:rPr>
      </w:pPr>
      <w:r>
        <w:rPr>
          <w:sz w:val="32"/>
        </w:rPr>
      </w:r>
    </w:p>
    <w:p>
      <w:pPr>
        <w:pStyle w:val="BodyText"/>
        <w:jc w:val="both"/>
        <w:rPr>
          <w:sz w:val="24"/>
        </w:rPr>
      </w:pPr>
      <w:r>
        <w:rPr>
          <w:sz w:val="24"/>
        </w:rPr>
        <w:t>The Commission issued orders on July 12, 2001 provisionally granting RTO status to PJM and GridSouth, and rejecting the RTO proposals of New York and New England (in the Northeast) and Southern and SPP/Entergy (in the Southeast).  The Commission found that the natural markets in the Northeast require that one, rather than three, RTOs be formed in the Northeast, and that one RTO be created in the Southeast.  In order to achieve that goal, the Commission directed New England, New York and PJM ISOs (and interested market participants) to participate in a 45 day mediation proceeding for the northeast.  Similarly, the Commission directed GridSouth, Southern, SPP and Entergy (along with interested market participants as well as GridFlorida and TVA) to participate in a 45 day mediation proceeding for the southeast.  Both mediation proceedings are to take place before a FERC appointed administrative law judge, who is required to submit a report to the Commission within 10 days after the conclusion of the mediation proceeding, recommending to the Commission a plan for reaching RTO status in the Northeast, and Southeast.  A summary of the Northeast and Southeast RTO orders is provided below.</w:t>
      </w:r>
    </w:p>
    <w:p>
      <w:pPr>
        <w:pStyle w:val="BodyText"/>
        <w:jc w:val="both"/>
        <w:rPr>
          <w:sz w:val="24"/>
        </w:rPr>
      </w:pPr>
      <w:r>
        <w:rPr>
          <w:sz w:val="24"/>
        </w:rPr>
      </w:r>
    </w:p>
    <w:p>
      <w:pPr>
        <w:pStyle w:val="BodyText"/>
        <w:jc w:val="both"/>
        <w:rPr/>
      </w:pPr>
      <w:r>
        <w:rPr/>
        <w:t>PJM RTO Proposal</w:t>
      </w:r>
    </w:p>
    <w:p>
      <w:pPr>
        <w:pStyle w:val="BodyText"/>
        <w:jc w:val="both"/>
        <w:rPr>
          <w:sz w:val="24"/>
        </w:rPr>
      </w:pPr>
      <w:r>
        <w:rPr>
          <w:sz w:val="24"/>
        </w:rPr>
      </w:r>
    </w:p>
    <w:p>
      <w:pPr>
        <w:pStyle w:val="BodyText"/>
        <w:jc w:val="both"/>
        <w:rPr>
          <w:sz w:val="24"/>
        </w:rPr>
      </w:pPr>
      <w:r>
        <w:rPr>
          <w:sz w:val="24"/>
        </w:rPr>
        <w:t>The Commission approves most aspects of PJM’s RTO filing, including scope, but states that it “will not permit three RTOs in the Northeast” and strongly encourages the formation of one Northeast RTO encompassing PJM, NYISO and New England ISO.  The Commission finds that PJM’s structure is a good platform to use to create the regional RTO but urges participants to take the best practices from each of the ISOs in forming the new Northeast RTO.</w:t>
      </w:r>
    </w:p>
    <w:p>
      <w:pPr>
        <w:pStyle w:val="Normal"/>
        <w:jc w:val="both"/>
        <w:rPr>
          <w:sz w:val="24"/>
        </w:rPr>
      </w:pPr>
      <w:r>
        <w:rPr>
          <w:sz w:val="24"/>
        </w:rPr>
      </w:r>
    </w:p>
    <w:p>
      <w:pPr>
        <w:pStyle w:val="Normal"/>
        <w:jc w:val="both"/>
        <w:rPr/>
      </w:pPr>
      <w:r>
        <w:rPr/>
        <w:t>With regard to the Commission’s 12 RTO functions and characteristics that were developed in Order No. 2000, the Commission finds that PJM meets most of these functions and characteristics, with some exceptions:</w:t>
      </w:r>
    </w:p>
    <w:p>
      <w:pPr>
        <w:pStyle w:val="Normal"/>
        <w:jc w:val="both"/>
        <w:rPr/>
      </w:pPr>
      <w:r>
        <w:rPr/>
      </w:r>
    </w:p>
    <w:p>
      <w:pPr>
        <w:pStyle w:val="Heading1"/>
        <w:ind w:hanging="0" w:start="0"/>
        <w:jc w:val="both"/>
        <w:rPr>
          <w:sz w:val="24"/>
        </w:rPr>
      </w:pPr>
      <w:r>
        <w:rPr>
          <w:sz w:val="24"/>
        </w:rPr>
        <w:t>PJM’s Reliability Assurance Agreement</w:t>
      </w:r>
    </w:p>
    <w:p>
      <w:pPr>
        <w:pStyle w:val="Normal"/>
        <w:jc w:val="both"/>
        <w:rPr>
          <w:sz w:val="24"/>
        </w:rPr>
      </w:pPr>
      <w:r>
        <w:rPr>
          <w:sz w:val="24"/>
        </w:rPr>
      </w:r>
    </w:p>
    <w:p>
      <w:pPr>
        <w:pStyle w:val="Normal"/>
        <w:jc w:val="both"/>
        <w:rPr/>
      </w:pPr>
      <w:r>
        <w:rPr/>
        <w:t xml:space="preserve">The Reliability Assurance Agreement (“RAA”) is currently available only to load serving entities (“LSEs”).  Under this agreement, LSEs have the exclusive responsibility to set reliability requirements and penalties, which the Commission states is contrary to Order No. 2000.  Consequently, the Commission orders that these reliability responsibilities be given exclusively to the PJM Board, with the RAA acting only in an advisory role to the Board.  The Commission also urges PJM to consider expanding membership to more market participants.  </w:t>
      </w:r>
    </w:p>
    <w:p>
      <w:pPr>
        <w:pStyle w:val="Normal"/>
        <w:jc w:val="both"/>
        <w:rPr/>
      </w:pPr>
      <w:r>
        <w:rPr/>
      </w:r>
    </w:p>
    <w:p>
      <w:pPr>
        <w:pStyle w:val="Heading1"/>
        <w:ind w:hanging="0" w:start="0"/>
        <w:jc w:val="both"/>
        <w:rPr>
          <w:sz w:val="24"/>
        </w:rPr>
      </w:pPr>
      <w:r>
        <w:rPr>
          <w:sz w:val="24"/>
        </w:rPr>
        <w:t>Scope and Configuration</w:t>
      </w:r>
    </w:p>
    <w:p>
      <w:pPr>
        <w:pStyle w:val="Normal"/>
        <w:jc w:val="both"/>
        <w:rPr>
          <w:sz w:val="24"/>
        </w:rPr>
      </w:pPr>
      <w:r>
        <w:rPr>
          <w:sz w:val="24"/>
        </w:rPr>
      </w:r>
    </w:p>
    <w:p>
      <w:pPr>
        <w:pStyle w:val="Normal"/>
        <w:jc w:val="both"/>
        <w:rPr/>
      </w:pPr>
      <w:r>
        <w:rPr/>
        <w:t>As noted above, the Commission approves PJM’s scope and configuration as marginally complying with Order No. 2000.  However, the Commission also states that it wants only one RTO in the Northeast, and also notes that it is rejecting the RTO proposals of New York and New England.  Although the Commission is still not technically “mandating” RTO participation, by granting RTO status to PJM, the Commission is leaving little choice for New York and New England but to join with PJM and adopt the PJM structure in order to gain RTO status.</w:t>
      </w:r>
    </w:p>
    <w:p>
      <w:pPr>
        <w:pStyle w:val="Normal"/>
        <w:jc w:val="both"/>
        <w:rPr/>
      </w:pPr>
      <w:r>
        <w:rPr/>
      </w:r>
    </w:p>
    <w:p>
      <w:pPr>
        <w:pStyle w:val="Normal"/>
        <w:jc w:val="both"/>
        <w:rPr/>
      </w:pPr>
      <w:r>
        <w:rPr/>
        <w:t>In discussing the need for a single RTO in the northeast, the Commission includes good language about why the current configuration does not work, and why the attempt to work through the MOU process will not lead to the efficiencies the Commission wants to achieve:</w:t>
      </w:r>
    </w:p>
    <w:p>
      <w:pPr>
        <w:pStyle w:val="Normal"/>
        <w:jc w:val="both"/>
        <w:rPr/>
      </w:pPr>
      <w:r>
        <w:rPr/>
      </w:r>
    </w:p>
    <w:p>
      <w:pPr>
        <w:pStyle w:val="BlockText"/>
        <w:jc w:val="both"/>
        <w:rPr>
          <w:sz w:val="24"/>
        </w:rPr>
      </w:pPr>
      <w:r>
        <w:rPr>
          <w:sz w:val="24"/>
        </w:rPr>
        <w:t>“</w:t>
      </w:r>
      <w:r>
        <w:rPr>
          <w:sz w:val="24"/>
        </w:rPr>
        <w:t>The existence of three separate ISOs in the Northeast with three sets of rules and structures has resulted in a balkanized market that does not encourage trade across seams or increase efficiencies over and above the tight power pool structure that has predated the ISOs.  Worse still, absent a course correction, this fragmented market may continue for years to come.”</w:t>
      </w:r>
    </w:p>
    <w:p>
      <w:pPr>
        <w:pStyle w:val="BlockText"/>
        <w:jc w:val="both"/>
        <w:rPr>
          <w:sz w:val="24"/>
        </w:rPr>
      </w:pPr>
      <w:r>
        <w:rPr>
          <w:sz w:val="24"/>
        </w:rPr>
      </w:r>
    </w:p>
    <w:p>
      <w:pPr>
        <w:pStyle w:val="BlockText"/>
        <w:jc w:val="both"/>
        <w:rPr>
          <w:sz w:val="24"/>
        </w:rPr>
      </w:pPr>
      <w:r>
        <w:rPr>
          <w:sz w:val="24"/>
        </w:rPr>
        <w:t>“</w:t>
      </w:r>
      <w:r>
        <w:rPr>
          <w:sz w:val="24"/>
        </w:rPr>
        <w:t>[I]t is not reasonable for the three ISOs to continue to spend considerable time and money to refine their own separate structures.”</w:t>
      </w:r>
    </w:p>
    <w:p>
      <w:pPr>
        <w:pStyle w:val="BlockText"/>
        <w:jc w:val="both"/>
        <w:rPr>
          <w:sz w:val="24"/>
        </w:rPr>
      </w:pPr>
      <w:r>
        <w:rPr>
          <w:sz w:val="24"/>
        </w:rPr>
      </w:r>
    </w:p>
    <w:p>
      <w:pPr>
        <w:pStyle w:val="BlockText"/>
        <w:jc w:val="both"/>
        <w:rPr/>
      </w:pPr>
      <w:r>
        <w:rPr>
          <w:sz w:val="24"/>
        </w:rPr>
        <w:t>“</w:t>
      </w:r>
      <w:r>
        <w:rPr>
          <w:sz w:val="24"/>
        </w:rPr>
        <w:t xml:space="preserve">The MOU initiative cannot be considered the practical equivalent of eliminating the seams between the three ISOs as would occur by forming a larger RTO, since it </w:t>
      </w:r>
      <w:r>
        <w:rPr>
          <w:b/>
          <w:bCs/>
          <w:i/>
          <w:iCs/>
          <w:sz w:val="24"/>
        </w:rPr>
        <w:t xml:space="preserve">does not result in anything resembling </w:t>
      </w:r>
      <w:r>
        <w:rPr>
          <w:sz w:val="24"/>
        </w:rPr>
        <w:t>a single Northeast market.” (emphasis added)</w:t>
      </w:r>
    </w:p>
    <w:p>
      <w:pPr>
        <w:pStyle w:val="BlockText"/>
        <w:jc w:val="both"/>
        <w:rPr>
          <w:sz w:val="24"/>
        </w:rPr>
      </w:pPr>
      <w:r>
        <w:rPr>
          <w:sz w:val="24"/>
        </w:rPr>
      </w:r>
    </w:p>
    <w:p>
      <w:pPr>
        <w:pStyle w:val="BlockText"/>
        <w:ind w:start="0" w:end="0"/>
        <w:jc w:val="both"/>
        <w:rPr>
          <w:sz w:val="24"/>
        </w:rPr>
      </w:pPr>
      <w:r>
        <w:rPr>
          <w:sz w:val="24"/>
        </w:rPr>
        <w:t xml:space="preserve">The Commission then refers to the Mediation proceeding that will begin within the next week, to continue for 45 days thereafter, with a report from the ALJ to the Commission 10 days after that.  The ALJ’s report will contain an outline of the Northeast RTO proposal, milestones for completing intermediate steps, and a deadline for submitting a joint proposal. </w:t>
      </w:r>
    </w:p>
    <w:p>
      <w:pPr>
        <w:pStyle w:val="BlockText"/>
        <w:ind w:start="0" w:end="0"/>
        <w:jc w:val="both"/>
        <w:rPr>
          <w:sz w:val="24"/>
        </w:rPr>
      </w:pPr>
      <w:r>
        <w:rPr>
          <w:sz w:val="24"/>
        </w:rPr>
      </w:r>
    </w:p>
    <w:p>
      <w:pPr>
        <w:pStyle w:val="BlockText"/>
        <w:ind w:start="0" w:end="0"/>
        <w:jc w:val="both"/>
        <w:rPr>
          <w:sz w:val="24"/>
        </w:rPr>
      </w:pPr>
      <w:r>
        <w:rPr>
          <w:b/>
          <w:bCs/>
          <w:i/>
          <w:iCs/>
          <w:sz w:val="24"/>
        </w:rPr>
        <w:t>Operational Authority and Short-term Reliability</w:t>
      </w:r>
    </w:p>
    <w:p>
      <w:pPr>
        <w:pStyle w:val="BlockText"/>
        <w:ind w:start="0" w:end="0"/>
        <w:jc w:val="both"/>
        <w:rPr>
          <w:sz w:val="24"/>
        </w:rPr>
      </w:pPr>
      <w:r>
        <w:rPr>
          <w:sz w:val="24"/>
        </w:rPr>
      </w:r>
    </w:p>
    <w:p>
      <w:pPr>
        <w:pStyle w:val="BlockText"/>
        <w:ind w:start="0" w:end="0"/>
        <w:jc w:val="both"/>
        <w:rPr>
          <w:sz w:val="24"/>
        </w:rPr>
      </w:pPr>
      <w:r>
        <w:rPr>
          <w:sz w:val="24"/>
        </w:rPr>
        <w:t>The Commission finds that because PJM is a single control area that PJM controls and has authority to dispatch the generation within the control area, PJM meets these characteristics.</w:t>
      </w:r>
    </w:p>
    <w:p>
      <w:pPr>
        <w:pStyle w:val="BlockText"/>
        <w:ind w:start="0" w:end="0"/>
        <w:jc w:val="both"/>
        <w:rPr>
          <w:sz w:val="24"/>
        </w:rPr>
      </w:pPr>
      <w:r>
        <w:rPr>
          <w:sz w:val="24"/>
        </w:rPr>
      </w:r>
    </w:p>
    <w:p>
      <w:pPr>
        <w:pStyle w:val="BlockText"/>
        <w:ind w:start="0" w:end="0"/>
        <w:jc w:val="both"/>
        <w:rPr>
          <w:sz w:val="24"/>
        </w:rPr>
      </w:pPr>
      <w:r>
        <w:rPr>
          <w:b/>
          <w:bCs/>
          <w:i/>
          <w:iCs/>
          <w:sz w:val="24"/>
        </w:rPr>
        <w:t>Tariff Administration</w:t>
      </w:r>
    </w:p>
    <w:p>
      <w:pPr>
        <w:pStyle w:val="BlockText"/>
        <w:ind w:start="0" w:end="0"/>
        <w:jc w:val="both"/>
        <w:rPr>
          <w:sz w:val="24"/>
        </w:rPr>
      </w:pPr>
      <w:r>
        <w:rPr>
          <w:sz w:val="24"/>
        </w:rPr>
      </w:r>
    </w:p>
    <w:p>
      <w:pPr>
        <w:pStyle w:val="BlockText"/>
        <w:ind w:start="0" w:end="0"/>
        <w:jc w:val="both"/>
        <w:rPr>
          <w:sz w:val="24"/>
        </w:rPr>
      </w:pPr>
      <w:r>
        <w:rPr>
          <w:sz w:val="24"/>
        </w:rPr>
        <w:t xml:space="preserve">The Commission focused on PJM’s interconnection procedures, noting that many market participants do not consider the process to be fair, particularly with regard to the affected TO’s responsibility for estimating the cost and construction time needed for the interconnection.  </w:t>
      </w:r>
    </w:p>
    <w:p>
      <w:pPr>
        <w:pStyle w:val="BlockText"/>
        <w:ind w:start="0" w:end="0"/>
        <w:jc w:val="both"/>
        <w:rPr>
          <w:sz w:val="24"/>
        </w:rPr>
      </w:pPr>
      <w:r>
        <w:rPr>
          <w:sz w:val="24"/>
        </w:rPr>
      </w:r>
    </w:p>
    <w:p>
      <w:pPr>
        <w:pStyle w:val="BlockText"/>
        <w:ind w:start="0" w:end="0"/>
        <w:jc w:val="both"/>
        <w:rPr>
          <w:sz w:val="24"/>
        </w:rPr>
      </w:pPr>
      <w:r>
        <w:rPr>
          <w:sz w:val="24"/>
        </w:rPr>
        <w:t>Because of these concerns, the Commission finds that the entire interconnection process must be under PJM’s decisional control – customers should negotiate with, and sign agreements with, PJM only.  The Commission also notes that it intends “in the near future” to consider whether standardized interconnection procedures are needed.  On this issue, Commission Massey issued a concurring opinion, stating that he would have been clearer and firmer in expressing the Commission’s resolve to standardize interconnection procedures.</w:t>
      </w:r>
    </w:p>
    <w:p>
      <w:pPr>
        <w:pStyle w:val="BlockText"/>
        <w:ind w:start="0" w:end="0"/>
        <w:jc w:val="both"/>
        <w:rPr>
          <w:sz w:val="24"/>
        </w:rPr>
      </w:pPr>
      <w:r>
        <w:rPr>
          <w:sz w:val="24"/>
        </w:rPr>
      </w:r>
    </w:p>
    <w:p>
      <w:pPr>
        <w:pStyle w:val="BlockText"/>
        <w:ind w:start="0" w:end="0"/>
        <w:jc w:val="both"/>
        <w:rPr>
          <w:sz w:val="24"/>
        </w:rPr>
      </w:pPr>
      <w:r>
        <w:rPr>
          <w:b/>
          <w:bCs/>
          <w:i/>
          <w:iCs/>
          <w:sz w:val="24"/>
        </w:rPr>
        <w:t>Congestion Management</w:t>
      </w:r>
    </w:p>
    <w:p>
      <w:pPr>
        <w:pStyle w:val="BlockText"/>
        <w:ind w:start="0" w:end="0"/>
        <w:jc w:val="both"/>
        <w:rPr>
          <w:sz w:val="24"/>
        </w:rPr>
      </w:pPr>
      <w:r>
        <w:rPr>
          <w:sz w:val="24"/>
        </w:rPr>
      </w:r>
    </w:p>
    <w:p>
      <w:pPr>
        <w:pStyle w:val="BlockText"/>
        <w:ind w:start="0" w:end="0"/>
        <w:jc w:val="both"/>
        <w:rPr>
          <w:sz w:val="24"/>
        </w:rPr>
      </w:pPr>
      <w:r>
        <w:rPr>
          <w:sz w:val="24"/>
        </w:rPr>
        <w:t xml:space="preserve">The Commission approves PJM’s use of LMP as its congestion management system but reiterates that while LMP is an acceptable congestion management approach, it is not the only one.  </w:t>
      </w:r>
    </w:p>
    <w:p>
      <w:pPr>
        <w:pStyle w:val="BlockText"/>
        <w:ind w:start="0" w:end="0"/>
        <w:jc w:val="both"/>
        <w:rPr>
          <w:sz w:val="24"/>
        </w:rPr>
      </w:pPr>
      <w:r>
        <w:rPr>
          <w:sz w:val="24"/>
        </w:rPr>
      </w:r>
    </w:p>
    <w:p>
      <w:pPr>
        <w:pStyle w:val="BlockText"/>
        <w:ind w:start="0" w:end="0"/>
        <w:jc w:val="both"/>
        <w:rPr/>
      </w:pPr>
      <w:r>
        <w:rPr>
          <w:sz w:val="24"/>
        </w:rPr>
        <w:t>The Commission does not address Enron’s comments regarding FTR allocation but notes in a footnote that expansion of trading FTRs (and other issues) is better addressed in a separate proceeding because it does not relate to whether or not PJM meets the RTO requirements of Order No. 2000.</w:t>
      </w:r>
      <w:r>
        <w:rPr>
          <w:rStyle w:val="FootnoteCharacters"/>
          <w:rStyle w:val="FootnoteReference"/>
          <w:sz w:val="24"/>
        </w:rPr>
        <w:footnoteReference w:id="2"/>
      </w:r>
      <w:r>
        <w:rPr>
          <w:sz w:val="24"/>
        </w:rPr>
        <w:t xml:space="preserve">  </w:t>
      </w:r>
    </w:p>
    <w:p>
      <w:pPr>
        <w:pStyle w:val="BlockText"/>
        <w:ind w:start="0" w:end="0"/>
        <w:jc w:val="both"/>
        <w:rPr>
          <w:sz w:val="24"/>
        </w:rPr>
      </w:pPr>
      <w:r>
        <w:rPr>
          <w:sz w:val="24"/>
        </w:rPr>
      </w:r>
    </w:p>
    <w:p>
      <w:pPr>
        <w:pStyle w:val="BlockText"/>
        <w:ind w:start="0" w:end="0"/>
        <w:jc w:val="both"/>
        <w:rPr>
          <w:sz w:val="24"/>
        </w:rPr>
      </w:pPr>
      <w:r>
        <w:rPr>
          <w:sz w:val="24"/>
        </w:rPr>
        <w:t>Although this statement could be interpreted to mean that FTR allocation will not be an issue for discussion during the mediation proceeding, we will explore this further since FTRs (as well as ICAP) are two of our biggest complaints about PJM.</w:t>
      </w:r>
    </w:p>
    <w:p>
      <w:pPr>
        <w:pStyle w:val="BlockText"/>
        <w:ind w:start="0" w:end="0"/>
        <w:jc w:val="both"/>
        <w:rPr>
          <w:sz w:val="24"/>
        </w:rPr>
      </w:pPr>
      <w:r>
        <w:rPr>
          <w:sz w:val="24"/>
        </w:rPr>
      </w:r>
    </w:p>
    <w:p>
      <w:pPr>
        <w:pStyle w:val="BlockText"/>
        <w:ind w:start="0" w:end="0"/>
        <w:jc w:val="both"/>
        <w:rPr>
          <w:sz w:val="24"/>
        </w:rPr>
      </w:pPr>
      <w:r>
        <w:rPr>
          <w:b/>
          <w:bCs/>
          <w:i/>
          <w:iCs/>
          <w:sz w:val="24"/>
        </w:rPr>
        <w:t>Parallel Path Flow</w:t>
      </w:r>
    </w:p>
    <w:p>
      <w:pPr>
        <w:pStyle w:val="BlockText"/>
        <w:ind w:start="0" w:end="0"/>
        <w:jc w:val="both"/>
        <w:rPr>
          <w:sz w:val="24"/>
        </w:rPr>
      </w:pPr>
      <w:r>
        <w:rPr>
          <w:sz w:val="24"/>
        </w:rPr>
      </w:r>
    </w:p>
    <w:p>
      <w:pPr>
        <w:pStyle w:val="BlockText"/>
        <w:ind w:start="0" w:end="0"/>
        <w:jc w:val="both"/>
        <w:rPr>
          <w:sz w:val="24"/>
        </w:rPr>
      </w:pPr>
      <w:r>
        <w:rPr>
          <w:sz w:val="24"/>
        </w:rPr>
        <w:t>The Commission finds that PJM meets the requirements for internalizing parallel path flows within PJM, but that PJM has not addressed how flows will be internalized within the Northeast region or with other regions to the west and south.  The Commission expects parallel flows within the Northeast region to be addressed in the mediation proceeding and establishes separate procedures (see below) for addressing parallel flows with neighboring regions.</w:t>
      </w:r>
    </w:p>
    <w:p>
      <w:pPr>
        <w:pStyle w:val="BlockText"/>
        <w:ind w:start="0" w:end="0"/>
        <w:jc w:val="both"/>
        <w:rPr>
          <w:sz w:val="24"/>
        </w:rPr>
      </w:pPr>
      <w:r>
        <w:rPr>
          <w:sz w:val="24"/>
        </w:rPr>
      </w:r>
    </w:p>
    <w:p>
      <w:pPr>
        <w:pStyle w:val="BlockText"/>
        <w:ind w:start="0" w:end="0"/>
        <w:jc w:val="both"/>
        <w:rPr>
          <w:sz w:val="24"/>
        </w:rPr>
      </w:pPr>
      <w:r>
        <w:rPr>
          <w:b/>
          <w:bCs/>
          <w:i/>
          <w:iCs/>
          <w:sz w:val="24"/>
        </w:rPr>
        <w:t>Calculation of TTC and ATC</w:t>
      </w:r>
    </w:p>
    <w:p>
      <w:pPr>
        <w:pStyle w:val="BlockText"/>
        <w:ind w:start="0" w:end="0"/>
        <w:jc w:val="both"/>
        <w:rPr>
          <w:sz w:val="24"/>
        </w:rPr>
      </w:pPr>
      <w:r>
        <w:rPr>
          <w:sz w:val="24"/>
        </w:rPr>
      </w:r>
    </w:p>
    <w:p>
      <w:pPr>
        <w:pStyle w:val="BlockText"/>
        <w:ind w:start="0" w:end="0"/>
        <w:jc w:val="both"/>
        <w:rPr>
          <w:sz w:val="24"/>
        </w:rPr>
      </w:pPr>
      <w:r>
        <w:rPr>
          <w:sz w:val="24"/>
        </w:rPr>
        <w:t>The Commission finds that PJM independently calculates ATC and TTC based on data partially or totally developed by PJM, thus meeting this RTO requirement.  However, the Commission states that it is not clear how PJM resolves disputes between data it gathers and information supplied by TOs.  The Commission directs PJM to clarify its procedures in a compliance filing.</w:t>
      </w:r>
    </w:p>
    <w:p>
      <w:pPr>
        <w:pStyle w:val="BlockText"/>
        <w:ind w:start="0" w:end="0"/>
        <w:jc w:val="both"/>
        <w:rPr>
          <w:sz w:val="24"/>
        </w:rPr>
      </w:pPr>
      <w:r>
        <w:rPr>
          <w:sz w:val="24"/>
        </w:rPr>
      </w:r>
    </w:p>
    <w:p>
      <w:pPr>
        <w:pStyle w:val="BlockText"/>
        <w:ind w:start="0" w:end="0"/>
        <w:jc w:val="both"/>
        <w:rPr>
          <w:sz w:val="24"/>
        </w:rPr>
      </w:pPr>
      <w:r>
        <w:rPr>
          <w:b/>
          <w:bCs/>
          <w:i/>
          <w:iCs/>
          <w:sz w:val="24"/>
        </w:rPr>
        <w:t>Market Monitoring</w:t>
      </w:r>
    </w:p>
    <w:p>
      <w:pPr>
        <w:pStyle w:val="BlockText"/>
        <w:ind w:start="0" w:end="0"/>
        <w:jc w:val="both"/>
        <w:rPr>
          <w:sz w:val="24"/>
        </w:rPr>
      </w:pPr>
      <w:r>
        <w:rPr>
          <w:sz w:val="24"/>
        </w:rPr>
      </w:r>
    </w:p>
    <w:p>
      <w:pPr>
        <w:pStyle w:val="BlockText"/>
        <w:ind w:start="0" w:end="0"/>
        <w:jc w:val="both"/>
        <w:rPr>
          <w:sz w:val="24"/>
        </w:rPr>
      </w:pPr>
      <w:r>
        <w:rPr>
          <w:sz w:val="24"/>
        </w:rPr>
        <w:t>The Commission finds that PJM meets the market monitoring criteria but states that it expects to receive reports and analyses of the RTO’s market monitor at the same time the reports are submitted to the RTO.  The Commission also notes that it reserves the right to issue supplemental orders regarding market monitoring.</w:t>
      </w:r>
    </w:p>
    <w:p>
      <w:pPr>
        <w:pStyle w:val="BlockText"/>
        <w:ind w:start="0" w:end="0"/>
        <w:jc w:val="both"/>
        <w:rPr>
          <w:sz w:val="24"/>
        </w:rPr>
      </w:pPr>
      <w:r>
        <w:rPr>
          <w:sz w:val="24"/>
        </w:rPr>
      </w:r>
    </w:p>
    <w:p>
      <w:pPr>
        <w:pStyle w:val="BlockText"/>
        <w:ind w:start="0" w:end="0"/>
        <w:jc w:val="both"/>
        <w:rPr>
          <w:sz w:val="24"/>
        </w:rPr>
      </w:pPr>
      <w:r>
        <w:rPr>
          <w:b/>
          <w:bCs/>
          <w:i/>
          <w:iCs/>
          <w:sz w:val="24"/>
        </w:rPr>
        <w:t>Transmission Planning and Expansion</w:t>
      </w:r>
    </w:p>
    <w:p>
      <w:pPr>
        <w:pStyle w:val="BlockText"/>
        <w:ind w:start="0" w:end="0"/>
        <w:jc w:val="both"/>
        <w:rPr>
          <w:sz w:val="24"/>
        </w:rPr>
      </w:pPr>
      <w:r>
        <w:rPr>
          <w:sz w:val="24"/>
        </w:rPr>
      </w:r>
    </w:p>
    <w:p>
      <w:pPr>
        <w:pStyle w:val="BlockText"/>
        <w:ind w:start="0" w:end="0"/>
        <w:jc w:val="both"/>
        <w:rPr>
          <w:sz w:val="24"/>
        </w:rPr>
      </w:pPr>
      <w:r>
        <w:rPr>
          <w:sz w:val="24"/>
        </w:rPr>
        <w:t>The Commission notes that an RTO’s expansion plans must consist of more than a collection of traditional expansion plans developed by the individual TOs.  The focus of the RTO’s regional plan must be broader than simply “maintaining the PJM Control Area’s reliability in an economic and environmentally acceptable manner” (which is the current PJM standard) and must fully explain how the RTO will pursue infrastructure investment that will make generation markets more competitive.</w:t>
      </w:r>
    </w:p>
    <w:p>
      <w:pPr>
        <w:pStyle w:val="BlockText"/>
        <w:ind w:start="0" w:end="0"/>
        <w:jc w:val="both"/>
        <w:rPr>
          <w:sz w:val="24"/>
        </w:rPr>
      </w:pPr>
      <w:r>
        <w:rPr>
          <w:sz w:val="24"/>
        </w:rPr>
      </w:r>
    </w:p>
    <w:p>
      <w:pPr>
        <w:pStyle w:val="BlockText"/>
        <w:ind w:start="0" w:end="0"/>
        <w:jc w:val="both"/>
        <w:rPr>
          <w:sz w:val="24"/>
        </w:rPr>
      </w:pPr>
      <w:r>
        <w:rPr>
          <w:sz w:val="24"/>
        </w:rPr>
        <w:t>The Commission lays out criteria that the RTO should focus on when identifying projects:  i)  the ability to expand trading opportunities; ii) the ability to better integrate the grid; and iii) the ability to relieve congestion.  The Commission notes that the existing planning processes focus more on the specific needs of TOs to serve their traditional retail customers than on fostering competitive markets.  Therefore, PJM is directed to modify its procedures to give full consideration to all market perspectives.</w:t>
      </w:r>
    </w:p>
    <w:p>
      <w:pPr>
        <w:pStyle w:val="BlockText"/>
        <w:ind w:start="0" w:end="0"/>
        <w:jc w:val="both"/>
        <w:rPr>
          <w:sz w:val="24"/>
        </w:rPr>
      </w:pPr>
      <w:r>
        <w:rPr>
          <w:sz w:val="24"/>
        </w:rPr>
      </w:r>
    </w:p>
    <w:p>
      <w:pPr>
        <w:pStyle w:val="BlockText"/>
        <w:ind w:start="0" w:end="0"/>
        <w:jc w:val="both"/>
        <w:rPr>
          <w:sz w:val="24"/>
        </w:rPr>
      </w:pPr>
      <w:r>
        <w:rPr>
          <w:sz w:val="24"/>
        </w:rPr>
        <w:t>Additionally, the Commission is concerned about TO involvement in transmission planning.  The Commission notes that although the Board has final approval of any plan, the Board only reviews those projects that are first approved by the TOs (the projects rejected by the TOs never get to the Board).  While third parties should be encouraged to participate, PJM must ultimately be responsible for developing the plan and conducting the studies that are currently being done by the TOs.  Third parties must also be permitted to construct and own new transmission facilities in PJM.  This issue will be addressed further in the mediation proceeding.</w:t>
      </w:r>
    </w:p>
    <w:p>
      <w:pPr>
        <w:pStyle w:val="BlockText"/>
        <w:ind w:start="0" w:end="0"/>
        <w:jc w:val="both"/>
        <w:rPr>
          <w:sz w:val="24"/>
        </w:rPr>
      </w:pPr>
      <w:r>
        <w:rPr>
          <w:sz w:val="24"/>
        </w:rPr>
      </w:r>
    </w:p>
    <w:p>
      <w:pPr>
        <w:pStyle w:val="BlockText"/>
        <w:ind w:start="0" w:end="0"/>
        <w:jc w:val="both"/>
        <w:rPr>
          <w:sz w:val="24"/>
        </w:rPr>
      </w:pPr>
      <w:r>
        <w:rPr>
          <w:b/>
          <w:bCs/>
          <w:i/>
          <w:iCs/>
          <w:sz w:val="24"/>
        </w:rPr>
        <w:t>Interregional Coordination (Seams Issues)</w:t>
      </w:r>
    </w:p>
    <w:p>
      <w:pPr>
        <w:pStyle w:val="BlockText"/>
        <w:ind w:start="0" w:end="0"/>
        <w:jc w:val="both"/>
        <w:rPr>
          <w:sz w:val="24"/>
        </w:rPr>
      </w:pPr>
      <w:r>
        <w:rPr>
          <w:sz w:val="24"/>
        </w:rPr>
      </w:r>
    </w:p>
    <w:p>
      <w:pPr>
        <w:pStyle w:val="BlockText"/>
        <w:ind w:start="0" w:end="0"/>
        <w:jc w:val="both"/>
        <w:rPr>
          <w:sz w:val="24"/>
        </w:rPr>
      </w:pPr>
      <w:r>
        <w:rPr>
          <w:sz w:val="24"/>
        </w:rPr>
        <w:t>Although the seams between PJM and New York and New England will be addressed in the mediation proceeding, the Commission notes that PJM will still have seams with Alliance and GridSouth.  Therefore, the Commission directs PJM to file reports with milestones for resolving the seams issues within 60 days from the date of the order.  The report must include updated status reports on the meetings, including a schedule of future meetings and a schedule for future reports.</w:t>
      </w:r>
    </w:p>
    <w:p>
      <w:pPr>
        <w:pStyle w:val="BlockText"/>
        <w:ind w:start="0" w:end="0"/>
        <w:jc w:val="both"/>
        <w:rPr>
          <w:sz w:val="24"/>
        </w:rPr>
      </w:pPr>
      <w:r>
        <w:rPr>
          <w:sz w:val="24"/>
        </w:rPr>
      </w:r>
    </w:p>
    <w:p>
      <w:pPr>
        <w:pStyle w:val="BlockText"/>
        <w:ind w:start="0" w:end="0"/>
        <w:jc w:val="both"/>
        <w:rPr>
          <w:sz w:val="24"/>
        </w:rPr>
      </w:pPr>
      <w:r>
        <w:rPr>
          <w:b/>
          <w:bCs/>
          <w:i/>
          <w:iCs/>
          <w:sz w:val="24"/>
        </w:rPr>
        <w:t>Innovative Rate Treatment</w:t>
      </w:r>
    </w:p>
    <w:p>
      <w:pPr>
        <w:pStyle w:val="BlockText"/>
        <w:ind w:start="0" w:end="0"/>
        <w:jc w:val="both"/>
        <w:rPr>
          <w:sz w:val="24"/>
        </w:rPr>
      </w:pPr>
      <w:r>
        <w:rPr>
          <w:sz w:val="24"/>
        </w:rPr>
      </w:r>
    </w:p>
    <w:p>
      <w:pPr>
        <w:pStyle w:val="BlockText"/>
        <w:ind w:start="0" w:end="0"/>
        <w:jc w:val="both"/>
        <w:rPr>
          <w:sz w:val="24"/>
        </w:rPr>
      </w:pPr>
      <w:r>
        <w:rPr>
          <w:sz w:val="24"/>
        </w:rPr>
        <w:t xml:space="preserve">The PJM TOs filed an innovative rate proposal along with PJM’s RTO filing.  Although PJM did not make the filing, it stated that it generally endorses the proposal.   Many intervenors opposed the proposal.  </w:t>
      </w:r>
    </w:p>
    <w:p>
      <w:pPr>
        <w:pStyle w:val="BlockText"/>
        <w:ind w:start="0" w:end="0"/>
        <w:jc w:val="both"/>
        <w:rPr>
          <w:sz w:val="24"/>
        </w:rPr>
      </w:pPr>
      <w:r>
        <w:rPr>
          <w:sz w:val="24"/>
        </w:rPr>
      </w:r>
    </w:p>
    <w:p>
      <w:pPr>
        <w:pStyle w:val="BlockText"/>
        <w:ind w:start="0" w:end="0"/>
        <w:jc w:val="both"/>
        <w:rPr>
          <w:sz w:val="24"/>
        </w:rPr>
      </w:pPr>
      <w:r>
        <w:rPr>
          <w:sz w:val="24"/>
        </w:rPr>
        <w:t>The Commission rejects the TOs’ proposal, finding that the TOs are not independent market participants and that the Commission cannot accept unilateral filings by market participants.  PJM must be responsible for developing and filing any proposed innovative pricing proposals.</w:t>
      </w:r>
    </w:p>
    <w:p>
      <w:pPr>
        <w:pStyle w:val="BlockText"/>
        <w:ind w:start="0" w:end="0"/>
        <w:jc w:val="both"/>
        <w:rPr>
          <w:sz w:val="24"/>
        </w:rPr>
      </w:pPr>
      <w:r>
        <w:rPr>
          <w:sz w:val="24"/>
        </w:rPr>
      </w:r>
    </w:p>
    <w:p>
      <w:pPr>
        <w:pStyle w:val="BlockText"/>
        <w:ind w:start="0" w:end="0"/>
        <w:jc w:val="both"/>
        <w:rPr>
          <w:sz w:val="24"/>
        </w:rPr>
      </w:pPr>
      <w:r>
        <w:rPr>
          <w:b/>
          <w:bCs/>
          <w:i/>
          <w:iCs/>
          <w:sz w:val="24"/>
        </w:rPr>
        <w:t>A Few End Notes</w:t>
      </w:r>
    </w:p>
    <w:p>
      <w:pPr>
        <w:pStyle w:val="BlockText"/>
        <w:ind w:start="0" w:end="0"/>
        <w:jc w:val="both"/>
        <w:rPr>
          <w:sz w:val="24"/>
        </w:rPr>
      </w:pPr>
      <w:r>
        <w:rPr>
          <w:sz w:val="24"/>
        </w:rPr>
      </w:r>
    </w:p>
    <w:p>
      <w:pPr>
        <w:pStyle w:val="BlockText"/>
        <w:ind w:start="0" w:end="0"/>
        <w:jc w:val="both"/>
        <w:rPr>
          <w:sz w:val="24"/>
        </w:rPr>
      </w:pPr>
      <w:r>
        <w:rPr>
          <w:sz w:val="24"/>
        </w:rPr>
        <w:t>Commission Wood filed a partial dissent regarding PJM’s $5,000 membership fee.  He thinks the fee is too high for small retail customers and should be lowered.</w:t>
      </w:r>
    </w:p>
    <w:p>
      <w:pPr>
        <w:pStyle w:val="BlockText"/>
        <w:ind w:start="0" w:end="0"/>
        <w:jc w:val="both"/>
        <w:rPr>
          <w:sz w:val="24"/>
        </w:rPr>
      </w:pPr>
      <w:r>
        <w:rPr>
          <w:sz w:val="24"/>
        </w:rPr>
      </w:r>
    </w:p>
    <w:p>
      <w:pPr>
        <w:pStyle w:val="BlockText"/>
        <w:ind w:start="0" w:end="0"/>
        <w:jc w:val="both"/>
        <w:rPr>
          <w:sz w:val="24"/>
        </w:rPr>
      </w:pPr>
      <w:r>
        <w:rPr>
          <w:sz w:val="24"/>
        </w:rPr>
        <w:t>Commissioner Breathitt also filed a partial dissent regarding the Commission’s statements that only four RTOs should be created in the U.S.  Commission Breathitt recalls that when Order No. 2000 was first issued, the Commission refused to “draw boundaries” for the RTOs, and she does not believe that it is necessary or appropriate to do so in an individual RTO proceeding.  If the Commission decides its must order RTO boundaries, it should do so in a formal rulemaking proceeding.</w:t>
      </w:r>
    </w:p>
    <w:p>
      <w:pPr>
        <w:pStyle w:val="Normal"/>
        <w:rPr>
          <w:sz w:val="32"/>
        </w:rPr>
      </w:pPr>
      <w:r>
        <w:rPr>
          <w:sz w:val="32"/>
        </w:rPr>
      </w:r>
    </w:p>
    <w:p>
      <w:pPr>
        <w:pStyle w:val="Normal"/>
        <w:rPr>
          <w:sz w:val="32"/>
        </w:rPr>
      </w:pPr>
      <w:r>
        <w:rPr>
          <w:sz w:val="32"/>
        </w:rPr>
      </w:r>
    </w:p>
    <w:p>
      <w:pPr>
        <w:pStyle w:val="Normal"/>
        <w:jc w:val="center"/>
        <w:rPr>
          <w:b/>
          <w:bCs/>
        </w:rPr>
      </w:pPr>
      <w:r>
        <w:rPr>
          <w:b/>
          <w:bCs/>
        </w:rPr>
        <w:t>Summary of FERC’s Order on NYISO RTO</w:t>
      </w:r>
    </w:p>
    <w:p>
      <w:pPr>
        <w:pStyle w:val="Normal"/>
        <w:jc w:val="center"/>
        <w:rPr>
          <w:b/>
          <w:bCs/>
        </w:rPr>
      </w:pPr>
      <w:r>
        <w:rPr>
          <w:b/>
          <w:bCs/>
        </w:rPr>
        <w:t>July 13, 2001</w:t>
      </w:r>
    </w:p>
    <w:p>
      <w:pPr>
        <w:pStyle w:val="Normal"/>
        <w:rPr>
          <w:b/>
          <w:bCs/>
        </w:rPr>
      </w:pPr>
      <w:r>
        <w:rPr>
          <w:b/>
          <w:bCs/>
        </w:rPr>
      </w:r>
    </w:p>
    <w:p>
      <w:pPr>
        <w:pStyle w:val="Normal"/>
        <w:rPr/>
      </w:pPr>
      <w:r>
        <w:rPr/>
        <w:t xml:space="preserve">Late yesterday, FERC issued an order rejecting the joint filing that had been made by the NYISO and the investor-owned utilities requesting RTO status for the NYISO. While FERC finds that the NYISO’s filing “does not minimally satisfy several of the characteristics and functions set for the in Order 2000,” far and away the biggest flaw is New York’s failure to satisfy FERC that a single state RTO within the broader northeast market makes any sense. In concurrent orders, FERC provisionally grants RTO status to PJM and denies RTO status to New England. </w:t>
      </w:r>
    </w:p>
    <w:p>
      <w:pPr>
        <w:pStyle w:val="Normal"/>
        <w:rPr/>
      </w:pPr>
      <w:r>
        <w:rPr/>
      </w:r>
    </w:p>
    <w:p>
      <w:pPr>
        <w:pStyle w:val="Normal"/>
        <w:rPr/>
      </w:pPr>
      <w:r>
        <w:rPr/>
        <w:t xml:space="preserve">FERC’s orders are based on a finding “that at a minimum, the Northeast United States constitutes a single region that should not be divided up into multiple RTOs. Consistent with these orders, we deny NYISO’s application primarily because its proposed size does not meet the scope and Regional Configuration characteristic.”  FERC instructs the NYISO to “negotiate with its neighbors and trading partners to form a single Northeastern RTO.”  </w:t>
      </w:r>
    </w:p>
    <w:p>
      <w:pPr>
        <w:pStyle w:val="Normal"/>
        <w:rPr/>
      </w:pPr>
      <w:r>
        <w:rPr/>
      </w:r>
    </w:p>
    <w:p>
      <w:pPr>
        <w:pStyle w:val="Normal"/>
        <w:rPr/>
      </w:pPr>
      <w:r>
        <w:rPr/>
        <w:t>FERC acknowledges that there will be “start-up” costs in forming a larger RTO, but argues that the costs are worth it over the long term because “large RTOs will foster market development, will provide increased reliability, and will result in lower wholesale electricity prices.” FERC states that these savings will be delayed “if RTOs are permitted to develop incompatible structures and systems, or if we approve RTOs that do not encompass wholesale market trading patterns.”</w:t>
      </w:r>
    </w:p>
    <w:p>
      <w:pPr>
        <w:pStyle w:val="Normal"/>
        <w:rPr/>
      </w:pPr>
      <w:r>
        <w:rPr/>
      </w:r>
    </w:p>
    <w:p>
      <w:pPr>
        <w:pStyle w:val="Normal"/>
        <w:rPr/>
      </w:pPr>
      <w:r>
        <w:rPr/>
        <w:t>FERC directs the parties in the Northeast to participate in an expedited mediation process. Pursuant to a separate order issued today, that process will commence on July 19</w:t>
      </w:r>
      <w:r>
        <w:rPr>
          <w:vertAlign w:val="superscript"/>
        </w:rPr>
        <w:t>th</w:t>
      </w:r>
      <w:r>
        <w:rPr/>
        <w:t>. FERC has established a 45-day mediation period, and the report of the mediator is due 10 days thereafter.</w:t>
      </w:r>
    </w:p>
    <w:p>
      <w:pPr>
        <w:pStyle w:val="Normal"/>
        <w:rPr/>
      </w:pPr>
      <w:r>
        <w:rPr/>
      </w:r>
    </w:p>
    <w:p>
      <w:pPr>
        <w:pStyle w:val="Normal"/>
        <w:rPr/>
      </w:pPr>
      <w:r>
        <w:rPr/>
        <w:t xml:space="preserve">Most of FERC’s order deals with the 12 characteristics and functions of an acceptable RTO and how New York’s filing measures up against those requirements. In many cases, New York’s filing is found unacceptable. While those discussions are now moot in view of FERC’s fundamental decision to require a single Northeast RTO, I summarize them below because they may provide guidance on how FERC may want them addressed in the mediation process. </w:t>
      </w:r>
    </w:p>
    <w:p>
      <w:pPr>
        <w:pStyle w:val="Normal"/>
        <w:rPr/>
      </w:pPr>
      <w:r>
        <w:rPr/>
      </w:r>
    </w:p>
    <w:p>
      <w:pPr>
        <w:pStyle w:val="Heading1"/>
        <w:ind w:hanging="0" w:start="0"/>
        <w:rPr/>
      </w:pPr>
      <w:r>
        <w:rPr/>
        <w:t>Independence</w:t>
      </w:r>
    </w:p>
    <w:p>
      <w:pPr>
        <w:pStyle w:val="Normal"/>
        <w:rPr>
          <w:b/>
          <w:bCs/>
        </w:rPr>
      </w:pPr>
      <w:r>
        <w:rPr>
          <w:b/>
          <w:bCs/>
        </w:rPr>
      </w:r>
    </w:p>
    <w:p>
      <w:pPr>
        <w:pStyle w:val="Normal"/>
        <w:rPr/>
      </w:pPr>
      <w:r>
        <w:rPr/>
        <w:t>FERC rejects the ISO’s contention that compliance with FERC’s requirements for ISOs satisfies the Commission’s RTO requirements, and concludes that the RTO would not be sufficiently independent for, among other reasons, that the RTO would lack the requisite Section 205 filing authority. (Management Committee consent is required for a 205 filing except under exigent circumstances.) FERC declines to discuss possible governance remedies in view of its decision to create one regional RTO. In addition, FERC does not mention Enron’s arguments attacking the existence of a separate NYS Reliability Council made up of stakeholders as fundamentally inconsistent with an independent RTO.</w:t>
      </w:r>
    </w:p>
    <w:p>
      <w:pPr>
        <w:pStyle w:val="Normal"/>
        <w:rPr/>
      </w:pPr>
      <w:r>
        <w:rPr/>
      </w:r>
    </w:p>
    <w:p>
      <w:pPr>
        <w:pStyle w:val="Heading1"/>
        <w:ind w:hanging="0" w:start="0"/>
        <w:rPr/>
      </w:pPr>
      <w:r>
        <w:rPr/>
        <w:t>Scope and Configuration</w:t>
      </w:r>
    </w:p>
    <w:p>
      <w:pPr>
        <w:pStyle w:val="Normal"/>
        <w:rPr/>
      </w:pPr>
      <w:r>
        <w:rPr/>
      </w:r>
    </w:p>
    <w:p>
      <w:pPr>
        <w:pStyle w:val="Normal"/>
        <w:rPr/>
      </w:pPr>
      <w:r>
        <w:rPr/>
        <w:t xml:space="preserve">As noted above, FERC flatly rejects New York’s proposed scope and configuration as too small and directs the creation of a single Northeast RTO. FERC notes that interregional trading among the three Northeast ISOs is significant and growing, It states, however, that “the vitality of this natural market is hampered by the balkanized set of market rules that have developed in the Northeastern ISOs since their inception…Moreover, the divergence of these rules creates uncertainty among market participants and may discourage trade among the Northeastern ISOs.” FERC concludes, “In sum, the narrow configuration of existing Northeastern ISOs creates artificial constraints within the broader market that spans the Northeastern region.” </w:t>
      </w:r>
    </w:p>
    <w:p>
      <w:pPr>
        <w:pStyle w:val="Normal"/>
        <w:rPr/>
      </w:pPr>
      <w:r>
        <w:rPr/>
      </w:r>
    </w:p>
    <w:p>
      <w:pPr>
        <w:pStyle w:val="Normal"/>
        <w:rPr/>
      </w:pPr>
      <w:r>
        <w:rPr/>
        <w:t xml:space="preserve">FERC also trashes the MOU effort and the notion of a “virtual RTO” as an acceptable alternative to a regional RTO. </w:t>
      </w:r>
    </w:p>
    <w:p>
      <w:pPr>
        <w:pStyle w:val="Normal"/>
        <w:numPr>
          <w:ilvl w:val="0"/>
          <w:numId w:val="3"/>
        </w:numPr>
        <w:rPr/>
      </w:pPr>
      <w:r>
        <w:rPr/>
        <w:t>“</w:t>
      </w:r>
      <w:r>
        <w:rPr/>
        <w:t>These efforts, which at the outset looked promising, have proved to be disappointing. In fact, the MOU process does not go far enough to address seams issues in the Northeastern market.”</w:t>
      </w:r>
    </w:p>
    <w:p>
      <w:pPr>
        <w:pStyle w:val="Normal"/>
        <w:numPr>
          <w:ilvl w:val="0"/>
          <w:numId w:val="3"/>
        </w:numPr>
        <w:rPr/>
      </w:pPr>
      <w:r>
        <w:rPr/>
        <w:t>“</w:t>
      </w:r>
      <w:r>
        <w:rPr/>
        <w:t>The existing MOU process is insufficient to be considered a sufficiently strong cooperative agreement with neighboring RTOs to establish a “seamless” trading area.”</w:t>
      </w:r>
    </w:p>
    <w:p>
      <w:pPr>
        <w:pStyle w:val="Normal"/>
        <w:numPr>
          <w:ilvl w:val="0"/>
          <w:numId w:val="3"/>
        </w:numPr>
        <w:rPr/>
      </w:pPr>
      <w:r>
        <w:rPr/>
        <w:t>“</w:t>
      </w:r>
      <w:r>
        <w:rPr/>
        <w:t>The MOU process has resulted in missed deadlines and few significant solutions that address the seams issues and market design differences among the three ISOs.”</w:t>
      </w:r>
    </w:p>
    <w:p>
      <w:pPr>
        <w:pStyle w:val="Normal"/>
        <w:numPr>
          <w:ilvl w:val="0"/>
          <w:numId w:val="3"/>
        </w:numPr>
        <w:rPr/>
      </w:pPr>
      <w:r>
        <w:rPr/>
        <w:t>“</w:t>
      </w:r>
      <w:r>
        <w:rPr/>
        <w:t>The NYISO has not demonstrated that a virtual RTO, even were it to b e achieved, would be the functional equivalent of a single Northeastern RTO.”</w:t>
      </w:r>
    </w:p>
    <w:p>
      <w:pPr>
        <w:pStyle w:val="Normal"/>
        <w:rPr/>
      </w:pPr>
      <w:r>
        <w:rPr/>
      </w:r>
    </w:p>
    <w:p>
      <w:pPr>
        <w:pStyle w:val="Normal"/>
        <w:rPr/>
      </w:pPr>
      <w:r>
        <w:rPr/>
        <w:t>FERC directs the NYISO to “work with its neighbors and trading partners to form a single, fully integrated RTO with a single set of market rules and one market design in the Northeast.” FERC notes that while PJM’s proposal is being provisionally approved, “it represents only a first step, a platform which must be built upon. PJM must be open to changes and improvements suggested by others. We encourage the three ISOs to look at the best practices in all three ISOs to develop market rules for a Northeast RTO.” FERC also encourages the State Commissions and Canadian entities to actively participate in the mediation process it is ordering.</w:t>
      </w:r>
    </w:p>
    <w:p>
      <w:pPr>
        <w:pStyle w:val="Normal"/>
        <w:rPr/>
      </w:pPr>
      <w:r>
        <w:rPr/>
      </w:r>
    </w:p>
    <w:p>
      <w:pPr>
        <w:pStyle w:val="Heading2"/>
        <w:ind w:hanging="0" w:start="0"/>
        <w:rPr>
          <w:u w:val="none"/>
        </w:rPr>
      </w:pPr>
      <w:r>
        <w:rPr>
          <w:b/>
          <w:bCs/>
          <w:u w:val="none"/>
        </w:rPr>
        <w:t>Operational Authority</w:t>
      </w:r>
    </w:p>
    <w:p>
      <w:pPr>
        <w:pStyle w:val="Normal"/>
        <w:rPr>
          <w:u w:val="none"/>
        </w:rPr>
      </w:pPr>
      <w:r>
        <w:rPr>
          <w:u w:val="none"/>
        </w:rPr>
      </w:r>
    </w:p>
    <w:p>
      <w:pPr>
        <w:pStyle w:val="Normal"/>
        <w:rPr/>
      </w:pPr>
      <w:r>
        <w:rPr/>
        <w:t xml:space="preserve">FERC finds that the NYISO’s proposal does not fully meet the requirements for this characteristic. In particular, it finds that the Transmission Owners (TOs) should not have authority to unilaterally revoke the RTO’s operational authority over transmission facilities, even during emergencies. FERC also states that the ISO needs to explain and justify why the ISO should not have full operational authority over certain transmission related facilities like phase angle regulators. </w:t>
      </w:r>
    </w:p>
    <w:p>
      <w:pPr>
        <w:pStyle w:val="Normal"/>
        <w:rPr/>
      </w:pPr>
      <w:r>
        <w:rPr/>
      </w:r>
    </w:p>
    <w:p>
      <w:pPr>
        <w:pStyle w:val="Heading1"/>
        <w:ind w:hanging="0" w:start="0"/>
        <w:rPr>
          <w:b w:val="false"/>
          <w:bCs w:val="false"/>
        </w:rPr>
      </w:pPr>
      <w:r>
        <w:rPr/>
        <w:t>Short-Term Reliability</w:t>
      </w:r>
    </w:p>
    <w:p>
      <w:pPr>
        <w:pStyle w:val="Normal"/>
        <w:rPr>
          <w:b/>
          <w:bCs/>
        </w:rPr>
      </w:pPr>
      <w:r>
        <w:rPr>
          <w:b/>
          <w:bCs/>
        </w:rPr>
      </w:r>
    </w:p>
    <w:p>
      <w:pPr>
        <w:pStyle w:val="Normal"/>
        <w:rPr/>
      </w:pPr>
      <w:r>
        <w:rPr/>
        <w:t>FERC finds that the NYISO meets this characteristic.</w:t>
      </w:r>
    </w:p>
    <w:p>
      <w:pPr>
        <w:pStyle w:val="Normal"/>
        <w:rPr/>
      </w:pPr>
      <w:r>
        <w:rPr/>
      </w:r>
    </w:p>
    <w:p>
      <w:pPr>
        <w:pStyle w:val="Heading1"/>
        <w:ind w:hanging="0" w:start="0"/>
        <w:rPr>
          <w:b w:val="false"/>
          <w:bCs w:val="false"/>
        </w:rPr>
      </w:pPr>
      <w:r>
        <w:rPr/>
        <w:t>Tariff Administration</w:t>
      </w:r>
    </w:p>
    <w:p>
      <w:pPr>
        <w:pStyle w:val="Normal"/>
        <w:rPr>
          <w:b/>
          <w:bCs/>
        </w:rPr>
      </w:pPr>
      <w:r>
        <w:rPr>
          <w:b/>
          <w:bCs/>
        </w:rPr>
      </w:r>
    </w:p>
    <w:p>
      <w:pPr>
        <w:pStyle w:val="Normal"/>
        <w:rPr/>
      </w:pPr>
      <w:r>
        <w:rPr/>
        <w:t>FERC finds that the NYISO does not meet the requirements of this RTO function. In particular, FERC holds that the ISO Board should have the authority to make section 205 filings without participant committee approval. In addition, FERC focuses a great deal of attention on interconnection issues. It states that the ISO, not the TOs, should be responsible for the processing of interconnection requests. It also finds that the ISO’s interconnection procedures are inadequate, and notes that it expects these issues to be addressed in the mediation process to create a single, fully integrated RTO in the Northeast. FERC also indicates its intention, in the near future, to evaluate the importance of standardizing generation interconnection procedures, an item that Commissioner Massey strongly endorsed in a concurring opinion. FERC does not address virtual bidding concerns raised by Enron in view of an ISO statement that it would be implemented in the fall. FERC did, however, encourage the parties to simplify the export and wheeling billing process that we complained about.</w:t>
      </w:r>
    </w:p>
    <w:p>
      <w:pPr>
        <w:pStyle w:val="Normal"/>
        <w:rPr/>
      </w:pPr>
      <w:r>
        <w:rPr/>
      </w:r>
    </w:p>
    <w:p>
      <w:pPr>
        <w:pStyle w:val="Heading1"/>
        <w:ind w:hanging="0" w:start="0"/>
        <w:rPr>
          <w:b w:val="false"/>
          <w:bCs w:val="false"/>
        </w:rPr>
      </w:pPr>
      <w:r>
        <w:rPr/>
        <w:t>Congestion Management</w:t>
      </w:r>
    </w:p>
    <w:p>
      <w:pPr>
        <w:pStyle w:val="Normal"/>
        <w:rPr>
          <w:b/>
          <w:bCs/>
        </w:rPr>
      </w:pPr>
      <w:r>
        <w:rPr>
          <w:b/>
          <w:bCs/>
        </w:rPr>
      </w:r>
    </w:p>
    <w:p>
      <w:pPr>
        <w:pStyle w:val="Normal"/>
        <w:rPr/>
      </w:pPr>
      <w:r>
        <w:rPr/>
        <w:t>FERC notes that the congestion management system in place in New York will need to be redesigned to take into consideration the requirements of a larger market. It affirms that PJM’s LMP system is an acceptable approach, but not the only approach. It agrees with Enron that the NYISO proposal “is inward-focused, and does not address the need for more interregional coordination in the solution to congestion management.” FERC also states: “Varying congestion management systems within a natural regional energy market such as the greater Northeast can operate as a barrier to entry to new market participants.”</w:t>
      </w:r>
    </w:p>
    <w:p>
      <w:pPr>
        <w:pStyle w:val="Normal"/>
        <w:rPr/>
      </w:pPr>
      <w:r>
        <w:rPr/>
      </w:r>
    </w:p>
    <w:p>
      <w:pPr>
        <w:pStyle w:val="Heading1"/>
        <w:ind w:hanging="0" w:start="0"/>
        <w:rPr/>
      </w:pPr>
      <w:r>
        <w:rPr/>
        <w:t>Parallel Path Flow</w:t>
      </w:r>
    </w:p>
    <w:p>
      <w:pPr>
        <w:pStyle w:val="Normal"/>
        <w:rPr/>
      </w:pPr>
      <w:r>
        <w:rPr/>
      </w:r>
    </w:p>
    <w:p>
      <w:pPr>
        <w:pStyle w:val="Normal"/>
        <w:rPr/>
      </w:pPr>
      <w:r>
        <w:rPr/>
        <w:t>FERC finds that NYISO meets the requirements for internalizing parallel path flows within NY, but that NYISO has not addressed how flows will be internalized within the Northeast and neighboring regions. The Commission expects this issue to be addressed in the mediation proceeding and the mediator’s report.</w:t>
      </w:r>
    </w:p>
    <w:p>
      <w:pPr>
        <w:pStyle w:val="Normal"/>
        <w:rPr/>
      </w:pPr>
      <w:r>
        <w:rPr/>
      </w:r>
    </w:p>
    <w:p>
      <w:pPr>
        <w:pStyle w:val="Heading1"/>
        <w:ind w:hanging="0" w:start="0"/>
        <w:rPr/>
      </w:pPr>
      <w:r>
        <w:rPr/>
        <w:t>Ancillary Services</w:t>
      </w:r>
    </w:p>
    <w:p>
      <w:pPr>
        <w:pStyle w:val="Normal"/>
        <w:rPr/>
      </w:pPr>
      <w:r>
        <w:rPr/>
      </w:r>
    </w:p>
    <w:p>
      <w:pPr>
        <w:pStyle w:val="Normal"/>
        <w:rPr/>
      </w:pPr>
      <w:r>
        <w:rPr/>
        <w:t>FERC finds that the NYISO is in compliance with the ancillary services requirements with the exception of the self-supply issue. FERC notes that the ISO’s failure to effectively offer its customers physical self-supply arrangements for operating reserves remains a serious problem. The Commission encourages sharing of ancillary services in the region, similar to the recent NY/New England reserve sharing agreements, while the ISOs work towards a single, fully integrated RTO in the Northeast.</w:t>
      </w:r>
    </w:p>
    <w:p>
      <w:pPr>
        <w:pStyle w:val="Normal"/>
        <w:rPr/>
      </w:pPr>
      <w:r>
        <w:rPr/>
      </w:r>
    </w:p>
    <w:p>
      <w:pPr>
        <w:pStyle w:val="Heading1"/>
        <w:ind w:hanging="0" w:start="0"/>
        <w:rPr/>
      </w:pPr>
      <w:r>
        <w:rPr/>
        <w:t>OASIS/Calculation of TTC and ATC</w:t>
      </w:r>
    </w:p>
    <w:p>
      <w:pPr>
        <w:pStyle w:val="Normal"/>
        <w:rPr/>
      </w:pPr>
      <w:r>
        <w:rPr/>
      </w:r>
    </w:p>
    <w:p>
      <w:pPr>
        <w:pStyle w:val="Normal"/>
        <w:rPr/>
      </w:pPr>
      <w:r>
        <w:rPr/>
        <w:t>FERC finds that NYISO’s proposal satisfies the requirements with regard to OASIS and TTC/ATC calculations, given the interim waivers previously granted to New York. FERC cautions, however, that Phase II implementation of OASIS may not result in waivers and urges the parties to address concerns about data postings in the mediation process.</w:t>
      </w:r>
    </w:p>
    <w:p>
      <w:pPr>
        <w:pStyle w:val="Normal"/>
        <w:rPr/>
      </w:pPr>
      <w:r>
        <w:rPr/>
      </w:r>
    </w:p>
    <w:p>
      <w:pPr>
        <w:pStyle w:val="Heading1"/>
        <w:ind w:hanging="0" w:start="0"/>
        <w:rPr/>
      </w:pPr>
      <w:r>
        <w:rPr/>
        <w:t>Market Monitoring</w:t>
      </w:r>
    </w:p>
    <w:p>
      <w:pPr>
        <w:pStyle w:val="Normal"/>
        <w:rPr/>
      </w:pPr>
      <w:r>
        <w:rPr/>
      </w:r>
    </w:p>
    <w:p>
      <w:pPr>
        <w:pStyle w:val="Normal"/>
        <w:rPr/>
      </w:pPr>
      <w:r>
        <w:rPr/>
        <w:t>FERC finds that New York’s market monitoring proposal is acceptable. It rejects suggestions that a market monitoring unit be established independent of the ISO. FERC does not address the call for a regional market monitor in light of the mediation process. It also declines to adopt a standard definition of “market power.” FERC also affirms that Order 2000 permits market monitoring plans to impose sanctions and penalties for certain types of behavior, “as long as plans clearly identify such remedial actions and the specific conduct to which they would be applied, provide a rationale, and explain how they would be implemented.”  Finally, FERC indicates that in the future, it will be reassessing the need for and degree of market monitoring.</w:t>
      </w:r>
    </w:p>
    <w:p>
      <w:pPr>
        <w:pStyle w:val="Normal"/>
        <w:rPr/>
      </w:pPr>
      <w:r>
        <w:rPr/>
      </w:r>
    </w:p>
    <w:p>
      <w:pPr>
        <w:pStyle w:val="Heading1"/>
        <w:ind w:hanging="0" w:start="0"/>
        <w:rPr/>
      </w:pPr>
      <w:r>
        <w:rPr/>
        <w:t>Transmission Planning and Expansion</w:t>
      </w:r>
    </w:p>
    <w:p>
      <w:pPr>
        <w:pStyle w:val="Normal"/>
        <w:rPr/>
      </w:pPr>
      <w:r>
        <w:rPr/>
      </w:r>
    </w:p>
    <w:p>
      <w:pPr>
        <w:pStyle w:val="Normal"/>
        <w:rPr/>
      </w:pPr>
      <w:r>
        <w:rPr/>
        <w:t>FERC rejects NYISO’s transmission expansion and planning proposal, which includes creation of a new Transmission Planning Committee, as incomplete and vague. It is also concerned about the degree of independence for the RTO. FERC is concerned that the new committee would allow TOs to block expansions. FERC notes that the RTO would not be allowed to propose transmission upgrades, only comment on what is in the plan developed by the committees. It also has concerns with the proposal’s cost recovery principles, and especially how they will facilitate transmission expansion.</w:t>
      </w:r>
    </w:p>
    <w:p>
      <w:pPr>
        <w:pStyle w:val="Normal"/>
        <w:rPr/>
      </w:pPr>
      <w:r>
        <w:rPr/>
      </w:r>
    </w:p>
    <w:p>
      <w:pPr>
        <w:pStyle w:val="Normal"/>
        <w:rPr>
          <w:b/>
          <w:bCs/>
        </w:rPr>
      </w:pPr>
      <w:r>
        <w:rPr>
          <w:b/>
          <w:bCs/>
        </w:rPr>
        <w:t>Interregional Coordination (Seams Issues)</w:t>
      </w:r>
    </w:p>
    <w:p>
      <w:pPr>
        <w:pStyle w:val="Normal"/>
        <w:rPr/>
      </w:pPr>
      <w:r>
        <w:rPr/>
      </w:r>
    </w:p>
    <w:p>
      <w:pPr>
        <w:pStyle w:val="Normal"/>
        <w:rPr/>
      </w:pPr>
      <w:r>
        <w:rPr/>
        <w:t>FERC is not satisfied with the parties’ progress to date with respect to the MOU process and the movement toward a single market for the Northeast. “We believe that the scope of the proposed NYISO RTO is too small and the issues facing the Northeast would be better handled through an RTO that encompasses the entire Northeast region and in coordination with Canadian entities, rather than through the MOU process.”</w:t>
      </w:r>
    </w:p>
    <w:p>
      <w:pPr>
        <w:pStyle w:val="Normal"/>
        <w:rPr/>
      </w:pPr>
      <w:r>
        <w:rPr/>
      </w:r>
    </w:p>
    <w:p>
      <w:pPr>
        <w:pStyle w:val="Heading1"/>
        <w:ind w:hanging="0" w:start="0"/>
        <w:rPr/>
      </w:pPr>
      <w:r>
        <w:rPr/>
        <w:t>End Notes</w:t>
      </w:r>
    </w:p>
    <w:p>
      <w:pPr>
        <w:pStyle w:val="Normal"/>
        <w:rPr/>
      </w:pPr>
      <w:r>
        <w:rPr/>
      </w:r>
    </w:p>
    <w:p>
      <w:pPr>
        <w:pStyle w:val="Normal"/>
        <w:autoSpaceDE w:val="false"/>
        <w:jc w:val="both"/>
        <w:rPr/>
      </w:pPr>
      <w:r>
        <w:rPr/>
        <w:t>Commissioner Breathitt filed a partial dissent regarding the Commission’s statements that only four RTOs should be created in the U.S. Commissioner Breathitt recalls that when Order No. 2000 was first issued, the Commission refused to “draw boundaries” for the RTOs, and she does not believe that it is necessary or appropriate to do so in an individual RTO proceeding.  If the Commission decides it must order RTO boundaries, it should do so in a formal rulemaking proceeding.</w:t>
      </w:r>
    </w:p>
    <w:p>
      <w:pPr>
        <w:pStyle w:val="Normal"/>
        <w:rPr/>
      </w:pPr>
      <w:r>
        <w:rPr/>
      </w:r>
    </w:p>
    <w:p>
      <w:pPr>
        <w:pStyle w:val="Normal"/>
        <w:rPr/>
      </w:pPr>
      <w:r>
        <w:rPr/>
        <w:t>Commissioner Wood filed a concurring opinion in which he disagrees with the Commission’s view that a request by Williams to require the development of uniform reliability and market interface practices should be rejected as a collateral attack on Order 2000. Commissioner Wood believes that such a project is “long overdue.”</w:t>
      </w:r>
    </w:p>
    <w:p>
      <w:pPr>
        <w:pStyle w:val="Normal"/>
        <w:rPr>
          <w:sz w:val="32"/>
        </w:rPr>
      </w:pPr>
      <w:r>
        <w:rPr>
          <w:sz w:val="32"/>
        </w:rPr>
      </w:r>
    </w:p>
    <w:p>
      <w:pPr>
        <w:pStyle w:val="Body"/>
        <w:rPr>
          <w:sz w:val="24"/>
          <w:u w:val="single"/>
        </w:rPr>
      </w:pPr>
      <w:r>
        <w:rPr>
          <w:sz w:val="24"/>
          <w:u w:val="single"/>
        </w:rPr>
        <w:t xml:space="preserve">New England RTO Order </w:t>
      </w:r>
    </w:p>
    <w:p>
      <w:pPr>
        <w:pStyle w:val="Body"/>
        <w:rPr>
          <w:sz w:val="24"/>
          <w:u w:val="single"/>
        </w:rPr>
      </w:pPr>
      <w:r>
        <w:rPr>
          <w:sz w:val="24"/>
          <w:u w:val="single"/>
        </w:rPr>
      </w:r>
    </w:p>
    <w:p>
      <w:pPr>
        <w:pStyle w:val="Body"/>
        <w:rPr>
          <w:sz w:val="24"/>
          <w:u w:val="single"/>
        </w:rPr>
      </w:pPr>
      <w:r>
        <w:rPr>
          <w:sz w:val="24"/>
          <w:u w:val="single"/>
        </w:rPr>
        <w:t>Hybrid RTO</w:t>
      </w:r>
    </w:p>
    <w:p>
      <w:pPr>
        <w:pStyle w:val="Body"/>
        <w:rPr>
          <w:sz w:val="24"/>
          <w:u w:val="single"/>
        </w:rPr>
      </w:pPr>
      <w:r>
        <w:rPr>
          <w:sz w:val="24"/>
          <w:u w:val="single"/>
        </w:rPr>
      </w:r>
    </w:p>
    <w:p>
      <w:pPr>
        <w:pStyle w:val="Body"/>
        <w:rPr>
          <w:sz w:val="24"/>
        </w:rPr>
      </w:pPr>
      <w:r>
        <w:rPr>
          <w:sz w:val="24"/>
        </w:rPr>
        <w:t xml:space="preserve">FERC gave a conditional green light to New England transmission owners to form a New England Independent Transmission Company which would be a single entity comprised of the transmission owners.  Together, the ISO and the ITC would form a hybrid RTO.  While FERC did not approve formation of the hybrid RTO it did find that the proposed ITC meets the minimum criteria for independence and that if the proposed RTO also meets the minimum functions for an RTO it could be approved.  FERC reserved its final judgment pending the filing of more detailed documents.  The Commission did, however, proceed to analyze the proposed RTO as against the minimum RTO characteristics outlined in Order 2000.  A summary of that analysis follows. </w:t>
      </w:r>
    </w:p>
    <w:p>
      <w:pPr>
        <w:pStyle w:val="Body"/>
        <w:rPr>
          <w:sz w:val="24"/>
        </w:rPr>
      </w:pPr>
      <w:r>
        <w:rPr>
          <w:sz w:val="24"/>
        </w:rPr>
      </w:r>
    </w:p>
    <w:p>
      <w:pPr>
        <w:pStyle w:val="Body"/>
        <w:rPr>
          <w:sz w:val="24"/>
          <w:u w:val="single"/>
        </w:rPr>
      </w:pPr>
      <w:r>
        <w:rPr>
          <w:sz w:val="24"/>
          <w:u w:val="single"/>
        </w:rPr>
        <w:t>Independence</w:t>
      </w:r>
    </w:p>
    <w:p>
      <w:pPr>
        <w:pStyle w:val="Body"/>
        <w:rPr>
          <w:sz w:val="24"/>
          <w:u w:val="single"/>
        </w:rPr>
      </w:pPr>
      <w:r>
        <w:rPr>
          <w:sz w:val="24"/>
          <w:u w:val="single"/>
        </w:rPr>
      </w:r>
    </w:p>
    <w:p>
      <w:pPr>
        <w:pStyle w:val="Body"/>
        <w:rPr>
          <w:sz w:val="24"/>
        </w:rPr>
      </w:pPr>
      <w:r>
        <w:rPr>
          <w:sz w:val="24"/>
        </w:rPr>
        <w:t>FERC found that the proposed ITC satisfies its independence criteria, paving the way for the transmission owners to form a transco (NE ITC).  In contrast, however, FERC found that the ISO did not meet the minimum criteria for independence.  FERC reasoned “In order for ISO-NE to be truly independent of market participants, it must have the sole authority to make changes to Market Rules and any other changes it deems necessary without being required to seek approval from NEPOOL.  Under a restructured RTO environment, market participant committees such as NEPOOL should serve a purely advisory role.”</w:t>
      </w:r>
    </w:p>
    <w:p>
      <w:pPr>
        <w:pStyle w:val="Body"/>
        <w:rPr>
          <w:sz w:val="24"/>
        </w:rPr>
      </w:pPr>
      <w:r>
        <w:rPr>
          <w:sz w:val="24"/>
        </w:rPr>
      </w:r>
    </w:p>
    <w:p>
      <w:pPr>
        <w:pStyle w:val="Body"/>
        <w:rPr>
          <w:sz w:val="24"/>
        </w:rPr>
      </w:pPr>
      <w:r>
        <w:rPr>
          <w:sz w:val="24"/>
          <w:u w:val="single"/>
        </w:rPr>
        <w:t>Scope and Configuration</w:t>
      </w:r>
    </w:p>
    <w:p>
      <w:pPr>
        <w:pStyle w:val="Body"/>
        <w:rPr>
          <w:sz w:val="24"/>
        </w:rPr>
      </w:pPr>
      <w:r>
        <w:rPr>
          <w:sz w:val="24"/>
        </w:rPr>
      </w:r>
    </w:p>
    <w:p>
      <w:pPr>
        <w:pStyle w:val="Body"/>
        <w:rPr/>
      </w:pPr>
      <w:r>
        <w:rPr>
          <w:sz w:val="24"/>
        </w:rPr>
        <w:t xml:space="preserve">As noted elsewhere, FERC rejected the proposed New England-only scope and ordered an expedited mediation on the formation of a single RTO for the northeast.  FERC rejected the MOU process as a substitute, finding it to be “disappointing in implementation.”  In a curious statement, FERC also found “In order to successfully encompass the natural market for bulk power in the Northeast, it is necessary that the Northeast </w:t>
      </w:r>
      <w:r>
        <w:rPr>
          <w:b/>
          <w:bCs/>
          <w:i/>
          <w:iCs/>
          <w:sz w:val="24"/>
        </w:rPr>
        <w:t>transmission owners</w:t>
      </w:r>
      <w:r>
        <w:rPr>
          <w:sz w:val="24"/>
        </w:rPr>
        <w:t xml:space="preserve"> combine to form a single RTO.”  The omission of the ISOs from this statement may have been inadvertent or may have been deliberate.  Indeed, some may attempt to argue that ISO-NE is not in fact compelled to combine under the order with NYPP and PJM.</w:t>
      </w:r>
    </w:p>
    <w:p>
      <w:pPr>
        <w:pStyle w:val="Body"/>
        <w:rPr>
          <w:sz w:val="24"/>
        </w:rPr>
      </w:pPr>
      <w:r>
        <w:rPr>
          <w:sz w:val="24"/>
        </w:rPr>
      </w:r>
    </w:p>
    <w:p>
      <w:pPr>
        <w:pStyle w:val="Body"/>
        <w:rPr>
          <w:sz w:val="24"/>
          <w:u w:val="single"/>
        </w:rPr>
      </w:pPr>
      <w:r>
        <w:rPr>
          <w:sz w:val="24"/>
          <w:u w:val="single"/>
        </w:rPr>
        <w:t>Operational Authority</w:t>
      </w:r>
    </w:p>
    <w:p>
      <w:pPr>
        <w:pStyle w:val="Body"/>
        <w:rPr>
          <w:sz w:val="24"/>
          <w:u w:val="single"/>
        </w:rPr>
      </w:pPr>
      <w:r>
        <w:rPr>
          <w:sz w:val="24"/>
          <w:u w:val="single"/>
        </w:rPr>
      </w:r>
    </w:p>
    <w:p>
      <w:pPr>
        <w:pStyle w:val="Body"/>
        <w:rPr>
          <w:sz w:val="24"/>
        </w:rPr>
      </w:pPr>
      <w:r>
        <w:rPr>
          <w:sz w:val="24"/>
        </w:rPr>
        <w:t>FERC noted that while no party disputes compliance of the proposal with this criteria FERC could not find the proposal compliant until proposed agreements and tariff language are filed.</w:t>
      </w:r>
    </w:p>
    <w:p>
      <w:pPr>
        <w:pStyle w:val="Body"/>
        <w:rPr>
          <w:sz w:val="24"/>
        </w:rPr>
      </w:pPr>
      <w:r>
        <w:rPr>
          <w:sz w:val="24"/>
        </w:rPr>
      </w:r>
    </w:p>
    <w:p>
      <w:pPr>
        <w:pStyle w:val="Body"/>
        <w:rPr>
          <w:sz w:val="24"/>
          <w:u w:val="single"/>
        </w:rPr>
      </w:pPr>
      <w:r>
        <w:rPr>
          <w:sz w:val="24"/>
          <w:u w:val="single"/>
        </w:rPr>
        <w:t>Short-Term Reliability</w:t>
      </w:r>
    </w:p>
    <w:p>
      <w:pPr>
        <w:pStyle w:val="Body"/>
        <w:rPr>
          <w:sz w:val="24"/>
          <w:u w:val="single"/>
        </w:rPr>
      </w:pPr>
      <w:r>
        <w:rPr>
          <w:sz w:val="24"/>
          <w:u w:val="single"/>
        </w:rPr>
      </w:r>
    </w:p>
    <w:p>
      <w:pPr>
        <w:pStyle w:val="Body"/>
        <w:rPr>
          <w:sz w:val="24"/>
        </w:rPr>
      </w:pPr>
      <w:r>
        <w:rPr>
          <w:sz w:val="24"/>
        </w:rPr>
        <w:t>FERC found the proposal to meet this criteria subject to its findings on regional scope and configuration.  Whether this signals FERCs expectation that the petitioners will file a single tariff or form a single control area for reliability is unclear.</w:t>
      </w:r>
    </w:p>
    <w:p>
      <w:pPr>
        <w:pStyle w:val="Body"/>
        <w:rPr>
          <w:sz w:val="24"/>
        </w:rPr>
      </w:pPr>
      <w:r>
        <w:rPr>
          <w:sz w:val="24"/>
        </w:rPr>
      </w:r>
    </w:p>
    <w:p>
      <w:pPr>
        <w:pStyle w:val="Body"/>
        <w:rPr>
          <w:sz w:val="24"/>
          <w:u w:val="single"/>
        </w:rPr>
      </w:pPr>
      <w:r>
        <w:rPr>
          <w:sz w:val="24"/>
          <w:u w:val="single"/>
        </w:rPr>
        <w:t>Tariff Administration</w:t>
      </w:r>
    </w:p>
    <w:p>
      <w:pPr>
        <w:pStyle w:val="Body"/>
        <w:rPr>
          <w:sz w:val="24"/>
          <w:u w:val="single"/>
        </w:rPr>
      </w:pPr>
      <w:r>
        <w:rPr>
          <w:sz w:val="24"/>
          <w:u w:val="single"/>
        </w:rPr>
      </w:r>
    </w:p>
    <w:p>
      <w:pPr>
        <w:pStyle w:val="Body"/>
        <w:rPr>
          <w:sz w:val="24"/>
        </w:rPr>
      </w:pPr>
      <w:r>
        <w:rPr>
          <w:sz w:val="24"/>
        </w:rPr>
        <w:t>FERC declined to eliminate the RNS/LNS distinction within the Nepool tariff “at this time.”  FERC affirmed the grandfathering of certain transmission contracts, held that the ITC may approve interconnection requests given its independence and signaled its intent in the future to address the standardization of interconnections.  FERC also “encouraged” petitioners to include the HQ Phase I and II facilities and the Highgate converter as part of the single northeast RTO proposal.</w:t>
      </w:r>
    </w:p>
    <w:p>
      <w:pPr>
        <w:pStyle w:val="Body"/>
        <w:rPr>
          <w:sz w:val="24"/>
        </w:rPr>
      </w:pPr>
      <w:r>
        <w:rPr>
          <w:sz w:val="24"/>
        </w:rPr>
      </w:r>
    </w:p>
    <w:p>
      <w:pPr>
        <w:pStyle w:val="Body"/>
        <w:rPr>
          <w:sz w:val="24"/>
          <w:u w:val="single"/>
        </w:rPr>
      </w:pPr>
      <w:r>
        <w:rPr>
          <w:sz w:val="24"/>
          <w:u w:val="single"/>
        </w:rPr>
        <w:t>Congestion</w:t>
      </w:r>
    </w:p>
    <w:p>
      <w:pPr>
        <w:pStyle w:val="Body"/>
        <w:rPr>
          <w:sz w:val="24"/>
          <w:u w:val="single"/>
        </w:rPr>
      </w:pPr>
      <w:r>
        <w:rPr>
          <w:sz w:val="24"/>
          <w:u w:val="single"/>
        </w:rPr>
      </w:r>
    </w:p>
    <w:p>
      <w:pPr>
        <w:pStyle w:val="Body"/>
        <w:rPr>
          <w:sz w:val="24"/>
        </w:rPr>
      </w:pPr>
      <w:r>
        <w:rPr>
          <w:sz w:val="24"/>
        </w:rPr>
        <w:t>Citing Enron’s protest, FERC embraces PJM as the platform for congestion management on the larger RTO.  In a clear push for consistence FERC held “Varying congestion management systems within a natural energy market such as the greater Northeast can operate as a barrier to entry to new market participants.  This is why it is critical for the market participants in the greater northeast to reach agreement on market rules.”  Exactly who is supposed to agree here is unclear in light of the Commission’s finding that NEPOOL should play a mere advisory role.</w:t>
      </w:r>
    </w:p>
    <w:p>
      <w:pPr>
        <w:pStyle w:val="Body"/>
        <w:rPr>
          <w:sz w:val="24"/>
        </w:rPr>
      </w:pPr>
      <w:r>
        <w:rPr>
          <w:sz w:val="24"/>
        </w:rPr>
      </w:r>
    </w:p>
    <w:p>
      <w:pPr>
        <w:pStyle w:val="Body"/>
        <w:rPr>
          <w:sz w:val="24"/>
          <w:u w:val="single"/>
        </w:rPr>
      </w:pPr>
      <w:r>
        <w:rPr>
          <w:sz w:val="24"/>
          <w:u w:val="single"/>
        </w:rPr>
        <w:t>Parallel Path Flow</w:t>
      </w:r>
    </w:p>
    <w:p>
      <w:pPr>
        <w:pStyle w:val="Body"/>
        <w:rPr>
          <w:sz w:val="24"/>
          <w:u w:val="single"/>
        </w:rPr>
      </w:pPr>
      <w:r>
        <w:rPr>
          <w:sz w:val="24"/>
          <w:u w:val="single"/>
        </w:rPr>
      </w:r>
    </w:p>
    <w:p>
      <w:pPr>
        <w:pStyle w:val="Body"/>
        <w:rPr>
          <w:sz w:val="24"/>
        </w:rPr>
      </w:pPr>
      <w:r>
        <w:rPr>
          <w:sz w:val="24"/>
        </w:rPr>
        <w:t>Picking up on the concerns raised in our protest FERC finds the proposal inadequate in this regard and uses that as a basis to bolster its findings on scope and configuration.</w:t>
      </w:r>
    </w:p>
    <w:p>
      <w:pPr>
        <w:pStyle w:val="Body"/>
        <w:rPr>
          <w:sz w:val="24"/>
        </w:rPr>
      </w:pPr>
      <w:r>
        <w:rPr>
          <w:sz w:val="24"/>
        </w:rPr>
      </w:r>
    </w:p>
    <w:p>
      <w:pPr>
        <w:pStyle w:val="Body"/>
        <w:rPr>
          <w:sz w:val="24"/>
        </w:rPr>
      </w:pPr>
      <w:r>
        <w:rPr>
          <w:sz w:val="24"/>
          <w:u w:val="single"/>
        </w:rPr>
        <w:t>Ancillary Services</w:t>
      </w:r>
    </w:p>
    <w:p>
      <w:pPr>
        <w:pStyle w:val="Body"/>
        <w:rPr>
          <w:sz w:val="24"/>
        </w:rPr>
      </w:pPr>
      <w:r>
        <w:rPr>
          <w:sz w:val="24"/>
        </w:rPr>
      </w:r>
    </w:p>
    <w:p>
      <w:pPr>
        <w:pStyle w:val="Body"/>
        <w:rPr>
          <w:sz w:val="24"/>
        </w:rPr>
      </w:pPr>
      <w:r>
        <w:rPr>
          <w:sz w:val="24"/>
        </w:rPr>
        <w:t>FERC sides with Enron and finds the proposal inadequate for failure to allow self-supply of ancillary services.</w:t>
      </w:r>
    </w:p>
    <w:p>
      <w:pPr>
        <w:pStyle w:val="Body"/>
        <w:rPr>
          <w:sz w:val="24"/>
        </w:rPr>
      </w:pPr>
      <w:r>
        <w:rPr>
          <w:sz w:val="24"/>
        </w:rPr>
      </w:r>
    </w:p>
    <w:p>
      <w:pPr>
        <w:pStyle w:val="Body"/>
        <w:rPr>
          <w:sz w:val="24"/>
          <w:u w:val="single"/>
        </w:rPr>
      </w:pPr>
      <w:r>
        <w:rPr>
          <w:sz w:val="24"/>
          <w:u w:val="single"/>
        </w:rPr>
        <w:t>Oasis</w:t>
      </w:r>
    </w:p>
    <w:p>
      <w:pPr>
        <w:pStyle w:val="Body"/>
        <w:rPr>
          <w:sz w:val="24"/>
          <w:u w:val="single"/>
        </w:rPr>
      </w:pPr>
      <w:r>
        <w:rPr>
          <w:sz w:val="24"/>
          <w:u w:val="single"/>
        </w:rPr>
      </w:r>
    </w:p>
    <w:p>
      <w:pPr>
        <w:pStyle w:val="Body"/>
        <w:rPr>
          <w:sz w:val="24"/>
        </w:rPr>
      </w:pPr>
      <w:r>
        <w:rPr>
          <w:sz w:val="24"/>
        </w:rPr>
        <w:t>FERC finds the proposals for posting TTC and ATC acceptable given its findings on independence.</w:t>
      </w:r>
    </w:p>
    <w:p>
      <w:pPr>
        <w:pStyle w:val="Body"/>
        <w:rPr>
          <w:sz w:val="24"/>
        </w:rPr>
      </w:pPr>
      <w:r>
        <w:rPr>
          <w:sz w:val="24"/>
        </w:rPr>
      </w:r>
    </w:p>
    <w:p>
      <w:pPr>
        <w:pStyle w:val="Body"/>
        <w:rPr>
          <w:sz w:val="24"/>
          <w:u w:val="single"/>
        </w:rPr>
      </w:pPr>
      <w:r>
        <w:rPr>
          <w:sz w:val="24"/>
          <w:u w:val="single"/>
        </w:rPr>
        <w:t>Market Monitoring</w:t>
      </w:r>
    </w:p>
    <w:p>
      <w:pPr>
        <w:pStyle w:val="Body"/>
        <w:rPr>
          <w:sz w:val="24"/>
          <w:u w:val="single"/>
        </w:rPr>
      </w:pPr>
      <w:r>
        <w:rPr>
          <w:sz w:val="24"/>
          <w:u w:val="single"/>
        </w:rPr>
      </w:r>
    </w:p>
    <w:p>
      <w:pPr>
        <w:pStyle w:val="Body"/>
        <w:rPr>
          <w:sz w:val="24"/>
        </w:rPr>
      </w:pPr>
      <w:r>
        <w:rPr>
          <w:sz w:val="24"/>
        </w:rPr>
        <w:t xml:space="preserve">FERC found the current monitoring plan under MRP 17 inadequate for the RTO for failing to address such issues as congestion management and the oversight of the ITC.  FERC awaits a more comprehensive proposal as part of NE ITCs tariff and its incentive rates proposal.  </w:t>
      </w:r>
    </w:p>
    <w:p>
      <w:pPr>
        <w:pStyle w:val="Body"/>
        <w:rPr>
          <w:sz w:val="24"/>
        </w:rPr>
      </w:pPr>
      <w:r>
        <w:rPr>
          <w:sz w:val="24"/>
        </w:rPr>
      </w:r>
    </w:p>
    <w:p>
      <w:pPr>
        <w:pStyle w:val="Body"/>
        <w:rPr>
          <w:sz w:val="24"/>
        </w:rPr>
      </w:pPr>
      <w:r>
        <w:rPr>
          <w:sz w:val="24"/>
          <w:u w:val="single"/>
        </w:rPr>
        <w:t>Planning and Expansion</w:t>
      </w:r>
    </w:p>
    <w:p>
      <w:pPr>
        <w:pStyle w:val="Body"/>
        <w:rPr>
          <w:sz w:val="24"/>
        </w:rPr>
      </w:pPr>
      <w:r>
        <w:rPr>
          <w:sz w:val="24"/>
        </w:rPr>
      </w:r>
    </w:p>
    <w:p>
      <w:pPr>
        <w:pStyle w:val="Body"/>
        <w:rPr>
          <w:sz w:val="24"/>
        </w:rPr>
      </w:pPr>
      <w:r>
        <w:rPr>
          <w:sz w:val="24"/>
        </w:rPr>
        <w:t>FERC punts on this as well, choosing to await the filing of a detailed incentive rate plan which it hopes will address concerns raised by interveners.</w:t>
      </w:r>
    </w:p>
    <w:p>
      <w:pPr>
        <w:pStyle w:val="Body"/>
        <w:rPr>
          <w:sz w:val="24"/>
        </w:rPr>
      </w:pPr>
      <w:r>
        <w:rPr>
          <w:sz w:val="24"/>
        </w:rPr>
      </w:r>
    </w:p>
    <w:p>
      <w:pPr>
        <w:pStyle w:val="Body"/>
        <w:rPr>
          <w:sz w:val="24"/>
          <w:u w:val="single"/>
        </w:rPr>
      </w:pPr>
      <w:r>
        <w:rPr>
          <w:sz w:val="24"/>
          <w:u w:val="single"/>
        </w:rPr>
        <w:t>Interregional coordination</w:t>
      </w:r>
    </w:p>
    <w:p>
      <w:pPr>
        <w:pStyle w:val="Body"/>
        <w:rPr>
          <w:sz w:val="24"/>
          <w:u w:val="single"/>
        </w:rPr>
      </w:pPr>
      <w:r>
        <w:rPr>
          <w:sz w:val="24"/>
          <w:u w:val="single"/>
        </w:rPr>
      </w:r>
    </w:p>
    <w:p>
      <w:pPr>
        <w:pStyle w:val="Body"/>
        <w:rPr>
          <w:sz w:val="24"/>
        </w:rPr>
      </w:pPr>
      <w:r>
        <w:rPr>
          <w:sz w:val="24"/>
        </w:rPr>
        <w:t>FERC answers this as well with reference to its decision to move the parties to form a single RTO.</w:t>
      </w:r>
    </w:p>
    <w:p>
      <w:pPr>
        <w:pStyle w:val="Body"/>
        <w:rPr>
          <w:sz w:val="24"/>
        </w:rPr>
      </w:pPr>
      <w:r>
        <w:rPr>
          <w:sz w:val="24"/>
        </w:rPr>
      </w:r>
    </w:p>
    <w:p>
      <w:pPr>
        <w:pStyle w:val="Body"/>
        <w:rPr>
          <w:sz w:val="24"/>
          <w:u w:val="single"/>
        </w:rPr>
      </w:pPr>
      <w:r>
        <w:rPr>
          <w:sz w:val="24"/>
          <w:u w:val="single"/>
        </w:rPr>
        <w:t>Incentive Rates</w:t>
      </w:r>
    </w:p>
    <w:p>
      <w:pPr>
        <w:pStyle w:val="Body"/>
        <w:rPr>
          <w:sz w:val="24"/>
          <w:u w:val="single"/>
        </w:rPr>
      </w:pPr>
      <w:r>
        <w:rPr>
          <w:sz w:val="24"/>
          <w:u w:val="single"/>
        </w:rPr>
      </w:r>
    </w:p>
    <w:p>
      <w:pPr>
        <w:pStyle w:val="Body"/>
        <w:rPr>
          <w:sz w:val="24"/>
        </w:rPr>
      </w:pPr>
      <w:r>
        <w:rPr>
          <w:sz w:val="24"/>
        </w:rPr>
        <w:t>FERC signals strong interest in receiving a detailed proposal on this in the near future.</w:t>
      </w:r>
    </w:p>
    <w:p>
      <w:pPr>
        <w:pStyle w:val="Body"/>
        <w:rPr>
          <w:sz w:val="24"/>
        </w:rPr>
      </w:pPr>
      <w:r>
        <w:rPr>
          <w:sz w:val="24"/>
        </w:rPr>
      </w:r>
    </w:p>
    <w:p>
      <w:pPr>
        <w:pStyle w:val="Body"/>
        <w:rPr>
          <w:sz w:val="24"/>
          <w:u w:val="single"/>
        </w:rPr>
      </w:pPr>
      <w:r>
        <w:rPr>
          <w:sz w:val="24"/>
          <w:u w:val="single"/>
        </w:rPr>
        <w:t>Final Issues</w:t>
      </w:r>
    </w:p>
    <w:p>
      <w:pPr>
        <w:pStyle w:val="Body"/>
        <w:rPr>
          <w:sz w:val="24"/>
          <w:u w:val="single"/>
        </w:rPr>
      </w:pPr>
      <w:r>
        <w:rPr>
          <w:sz w:val="24"/>
          <w:u w:val="single"/>
        </w:rPr>
      </w:r>
    </w:p>
    <w:p>
      <w:pPr>
        <w:pStyle w:val="Body"/>
        <w:rPr>
          <w:sz w:val="24"/>
        </w:rPr>
      </w:pPr>
      <w:r>
        <w:rPr>
          <w:sz w:val="24"/>
        </w:rPr>
        <w:t>FERC ruled that the “petitioners” have the authority to make the appropriate filings to establish an RTO that will provide services now provided under the nepool agreement.  Petitioners here refers to the ISO and the transmission owners only.</w:t>
      </w:r>
    </w:p>
    <w:p>
      <w:pPr>
        <w:pStyle w:val="Body"/>
        <w:rPr>
          <w:sz w:val="24"/>
        </w:rPr>
      </w:pPr>
      <w:r>
        <w:rPr>
          <w:sz w:val="24"/>
        </w:rPr>
      </w:r>
    </w:p>
    <w:p>
      <w:pPr>
        <w:pStyle w:val="Body"/>
        <w:rPr>
          <w:sz w:val="24"/>
        </w:rPr>
      </w:pPr>
      <w:r>
        <w:rPr>
          <w:sz w:val="24"/>
        </w:rPr>
        <w:t>FERC also put the stake through the heart of nepool with the following two sentences at the very end of the order.  “Petitioners seek an order from the Commission declaring NEPO)OL’s existing arrangements with ISO-NE and the New england transmission owners to be inconsistent with the requirements of Order No. 2000.  For the reasons discussed above relating to independence and scope and configuration, we hereby grant Petitioner’s request.</w:t>
      </w:r>
    </w:p>
    <w:p>
      <w:pPr>
        <w:pStyle w:val="Body"/>
        <w:rPr>
          <w:sz w:val="24"/>
        </w:rPr>
      </w:pPr>
      <w:r>
        <w:rPr>
          <w:sz w:val="24"/>
        </w:rPr>
      </w:r>
    </w:p>
    <w:p>
      <w:pPr>
        <w:pStyle w:val="Body"/>
        <w:rPr>
          <w:sz w:val="24"/>
        </w:rPr>
      </w:pPr>
      <w:r>
        <w:rPr>
          <w:sz w:val="24"/>
        </w:rPr>
        <w:t>As with the New York ISO FERC has ordered mediation before ALJ Young to begin on Thursday, July 19, 2001.</w:t>
      </w:r>
    </w:p>
    <w:p>
      <w:pPr>
        <w:pStyle w:val="Normal"/>
        <w:rPr>
          <w:sz w:val="32"/>
        </w:rPr>
      </w:pPr>
      <w:r>
        <w:rPr>
          <w:sz w:val="32"/>
        </w:rPr>
      </w:r>
    </w:p>
    <w:p>
      <w:pPr>
        <w:pStyle w:val="Heading"/>
        <w:rPr>
          <w:sz w:val="32"/>
        </w:rPr>
      </w:pPr>
      <w:r>
        <w:rPr>
          <w:sz w:val="32"/>
        </w:rPr>
      </w:r>
    </w:p>
    <w:p>
      <w:pPr>
        <w:pStyle w:val="Heading"/>
        <w:rPr/>
      </w:pPr>
      <w:r>
        <w:rPr/>
      </w:r>
    </w:p>
    <w:p>
      <w:pPr>
        <w:pStyle w:val="Heading"/>
        <w:rPr/>
      </w:pPr>
      <w:r>
        <w:rPr/>
        <w:t>Summary of GridSouth Order</w:t>
      </w:r>
    </w:p>
    <w:p>
      <w:pPr>
        <w:pStyle w:val="Normal"/>
        <w:jc w:val="center"/>
        <w:rPr>
          <w:b/>
          <w:bCs/>
        </w:rPr>
      </w:pPr>
      <w:r>
        <w:rPr>
          <w:b/>
          <w:bCs/>
        </w:rPr>
        <w:t>7/12/01</w:t>
      </w:r>
    </w:p>
    <w:p>
      <w:pPr>
        <w:pStyle w:val="Normal"/>
        <w:rPr>
          <w:b/>
          <w:bCs/>
        </w:rPr>
      </w:pPr>
      <w:r>
        <w:rPr>
          <w:b/>
          <w:bCs/>
        </w:rPr>
      </w:r>
    </w:p>
    <w:p>
      <w:pPr>
        <w:pStyle w:val="Normal"/>
        <w:rPr>
          <w:b/>
          <w:bCs/>
        </w:rPr>
      </w:pPr>
      <w:r>
        <w:rPr>
          <w:b/>
          <w:bCs/>
        </w:rPr>
      </w:r>
    </w:p>
    <w:p>
      <w:pPr>
        <w:pStyle w:val="Normal"/>
        <w:rPr/>
      </w:pPr>
      <w:r>
        <w:rPr>
          <w:b/>
          <w:bCs/>
        </w:rPr>
        <w:t>Grid South was also directed to participate in the mediation conferences before the FERC ALJ</w:t>
      </w:r>
      <w:r>
        <w:rPr/>
        <w:t xml:space="preserve">.  In a prior order, Grid South was directed to hold talks with Santee Cooper and with Southern in attempt to enlarge the scope of the RTO.  Grid South did hold these talks, but no agreements were reached.  Santee Cooper has problems with start up costs, and with the legal problems of joining the RTO.  Grid South also had talks with Southern, to no avail, and with TVA.  The current order directs the parties, as in </w:t>
      </w:r>
      <w:r>
        <w:rPr>
          <w:u w:val="single"/>
        </w:rPr>
        <w:t>SPP/Entergy</w:t>
      </w:r>
      <w:r>
        <w:rPr/>
        <w:t xml:space="preserve"> and in </w:t>
      </w:r>
      <w:r>
        <w:rPr>
          <w:u w:val="single"/>
        </w:rPr>
        <w:t>Southern</w:t>
      </w:r>
      <w:r>
        <w:rPr/>
        <w:t>, to participate in the mediation proceedings.  FERC encourages participation by state commissions, TVA, SEPA and by Grid Florida.</w:t>
      </w:r>
    </w:p>
    <w:p>
      <w:pPr>
        <w:pStyle w:val="Normal"/>
        <w:rPr/>
      </w:pPr>
      <w:r>
        <w:rPr/>
      </w:r>
    </w:p>
    <w:p>
      <w:pPr>
        <w:pStyle w:val="Normal"/>
        <w:rPr/>
      </w:pPr>
      <w:r>
        <w:rPr>
          <w:b/>
          <w:bCs/>
        </w:rPr>
        <w:t xml:space="preserve">The Commission also found problems with Grid South’s independence, and therefore an independent Board is required to be established </w:t>
      </w:r>
      <w:r>
        <w:rPr/>
        <w:t>and a compliance filing made at FERC within 90 days to make the changes required by this order.  The order stated that binding decisions should be made by the independent board or through a full stakeholder process.  Grid South may only expend funds on non-policy related matters prior to installation of the independent board.</w:t>
      </w:r>
    </w:p>
    <w:p>
      <w:pPr>
        <w:pStyle w:val="Normal"/>
        <w:rPr/>
      </w:pPr>
      <w:r>
        <w:rPr/>
      </w:r>
    </w:p>
    <w:p>
      <w:pPr>
        <w:pStyle w:val="Normal"/>
        <w:rPr/>
      </w:pPr>
      <w:r>
        <w:rPr>
          <w:b/>
          <w:bCs/>
        </w:rPr>
        <w:t xml:space="preserve">The order approves the interim congestion management proposal, with modifications.  GridSouth must, in collaboration with it stakeholders, develop and implement their market-based long-term congestion management plan within one year of start-up.  </w:t>
      </w:r>
      <w:r>
        <w:rPr/>
        <w:t xml:space="preserve">(GridSouth had indicated that if the one-year date had to slip, they would file a report; FERC denied this possibility of delay.)  Grid South had proposed cost-based prices for incs and decs.  The order rejects this and requires the GridSouth Board to modify this aspect of the proposal.  The Board is also directed to revise a provision that would allow GridSouth to charge twice for energy service – both the imbalance charge (if generation is less than scheduled) and a charge to recover redispatch costs.  The Board must also file a more complete explanation how individual control areas and GridSouth will operationally coordinate their balancing and congestion management responsibilities. </w:t>
      </w:r>
    </w:p>
    <w:p>
      <w:pPr>
        <w:pStyle w:val="Normal"/>
        <w:rPr/>
      </w:pPr>
      <w:r>
        <w:rPr/>
      </w:r>
    </w:p>
    <w:p>
      <w:pPr>
        <w:pStyle w:val="Normal"/>
        <w:rPr>
          <w:b/>
          <w:bCs/>
        </w:rPr>
      </w:pPr>
      <w:r>
        <w:rPr>
          <w:b/>
          <w:bCs/>
        </w:rPr>
        <w:t>The Reliability Operating Agreements between GridSouth and the three TOs  are rejected since the independent Board has not been established.</w:t>
      </w:r>
    </w:p>
    <w:p>
      <w:pPr>
        <w:pStyle w:val="Normal"/>
        <w:rPr>
          <w:b/>
          <w:bCs/>
        </w:rPr>
      </w:pPr>
      <w:r>
        <w:rPr>
          <w:b/>
          <w:bCs/>
        </w:rPr>
      </w:r>
    </w:p>
    <w:p>
      <w:pPr>
        <w:pStyle w:val="Normal"/>
        <w:rPr/>
      </w:pPr>
      <w:r>
        <w:rPr>
          <w:b/>
          <w:bCs/>
        </w:rPr>
        <w:t>The order sets out many decisions on the generator interconnection procedures. The Commission will evaluate in the near future the importance of standardizing generation interconnection procedures</w:t>
      </w:r>
      <w:r>
        <w:rPr/>
        <w:t>.  All conversion issues will be taken up in that evaluation.</w:t>
      </w:r>
    </w:p>
    <w:p>
      <w:pPr>
        <w:pStyle w:val="Normal"/>
        <w:numPr>
          <w:ilvl w:val="0"/>
          <w:numId w:val="2"/>
        </w:numPr>
        <w:rPr/>
      </w:pPr>
      <w:r>
        <w:rPr/>
        <w:t>The interconnection process must be under the control of Grid South, not the utilities.  The order finds that the transmission owners are overly involved with the process.</w:t>
      </w:r>
    </w:p>
    <w:p>
      <w:pPr>
        <w:pStyle w:val="Normal"/>
        <w:numPr>
          <w:ilvl w:val="0"/>
          <w:numId w:val="2"/>
        </w:numPr>
        <w:rPr/>
      </w:pPr>
      <w:r>
        <w:rPr/>
        <w:t>Studies should come from Grid South, though they can request expertise and services of the TOs through contracts with these entities.</w:t>
      </w:r>
    </w:p>
    <w:p>
      <w:pPr>
        <w:pStyle w:val="Normal"/>
        <w:numPr>
          <w:ilvl w:val="0"/>
          <w:numId w:val="2"/>
        </w:numPr>
        <w:rPr/>
      </w:pPr>
      <w:r>
        <w:rPr/>
        <w:t>A customer’s cost responsibility for further studies should be limited up until the time of execution of an interconnection agreements.</w:t>
      </w:r>
    </w:p>
    <w:p>
      <w:pPr>
        <w:pStyle w:val="Normal"/>
        <w:numPr>
          <w:ilvl w:val="0"/>
          <w:numId w:val="2"/>
        </w:numPr>
        <w:rPr/>
      </w:pPr>
      <w:r>
        <w:rPr/>
        <w:t>The order encourages GridSouth to develop streamlined processes for small interconnections requests of 20 MW or less.</w:t>
      </w:r>
    </w:p>
    <w:p>
      <w:pPr>
        <w:pStyle w:val="Normal"/>
        <w:numPr>
          <w:ilvl w:val="0"/>
          <w:numId w:val="2"/>
        </w:numPr>
        <w:rPr/>
      </w:pPr>
      <w:r>
        <w:rPr/>
        <w:t>A customer may ask whether a modification to an Interconnection Request would be considered material to affect the place in queue.</w:t>
      </w:r>
    </w:p>
    <w:p>
      <w:pPr>
        <w:pStyle w:val="Normal"/>
        <w:numPr>
          <w:ilvl w:val="0"/>
          <w:numId w:val="2"/>
        </w:numPr>
        <w:rPr/>
      </w:pPr>
      <w:r>
        <w:rPr/>
        <w:t>Grid South must file either an executed or unexecuted interconnection agreement with 30 days of a customer’s request to do so.</w:t>
      </w:r>
    </w:p>
    <w:p>
      <w:pPr>
        <w:pStyle w:val="Normal"/>
        <w:numPr>
          <w:ilvl w:val="0"/>
          <w:numId w:val="2"/>
        </w:numPr>
        <w:rPr/>
      </w:pPr>
      <w:r>
        <w:rPr/>
        <w:t>All network upgrade costs including those necessary to remedy short-circuit and stability problems should be credited back to the customer that funded the upgrades once delivery services begins.</w:t>
      </w:r>
    </w:p>
    <w:p>
      <w:pPr>
        <w:pStyle w:val="Normal"/>
        <w:rPr/>
      </w:pPr>
      <w:r>
        <w:rPr/>
      </w:r>
    </w:p>
    <w:p>
      <w:pPr>
        <w:pStyle w:val="Normal"/>
        <w:rPr>
          <w:b/>
          <w:bCs/>
        </w:rPr>
      </w:pPr>
      <w:r>
        <w:rPr>
          <w:b/>
          <w:bCs/>
        </w:rPr>
        <w:t>GridSouth is the operator of the grid and must have sole responsibility and control over the transmission planning process.  GridSouth will determine the CBM (if any) that is necessary to maintain reliable operations.</w:t>
      </w:r>
    </w:p>
    <w:p>
      <w:pPr>
        <w:pStyle w:val="Normal"/>
        <w:rPr>
          <w:b/>
          <w:bCs/>
        </w:rPr>
      </w:pPr>
      <w:r>
        <w:rPr>
          <w:b/>
          <w:bCs/>
        </w:rPr>
      </w:r>
    </w:p>
    <w:p>
      <w:pPr>
        <w:pStyle w:val="Normal"/>
        <w:rPr>
          <w:b/>
          <w:bCs/>
        </w:rPr>
      </w:pPr>
      <w:r>
        <w:rPr>
          <w:b/>
          <w:bCs/>
        </w:rPr>
      </w:r>
    </w:p>
    <w:p>
      <w:pPr>
        <w:pStyle w:val="Normal"/>
        <w:rPr/>
      </w:pPr>
      <w:r>
        <w:rPr/>
      </w:r>
    </w:p>
    <w:p>
      <w:pPr>
        <w:pStyle w:val="Normal"/>
        <w:autoSpaceDE w:val="false"/>
        <w:spacing w:lineRule="atLeast" w:line="240"/>
        <w:rPr/>
      </w:pPr>
      <w:r>
        <w:rPr>
          <w:rFonts w:cs="Helv;Arial" w:ascii="Helv;Arial" w:hAnsi="Helv;Arial"/>
          <w:b/>
          <w:bCs/>
          <w:color w:val="000000"/>
          <w:sz w:val="20"/>
          <w:szCs w:val="20"/>
        </w:rPr>
        <w:t>The SPP and Entergy RTO proposals have been rejected</w:t>
      </w:r>
      <w:r>
        <w:rPr>
          <w:rFonts w:cs="Helv;Arial" w:ascii="Helv;Arial" w:hAnsi="Helv;Arial"/>
          <w:color w:val="000000"/>
          <w:sz w:val="20"/>
          <w:szCs w:val="20"/>
        </w:rPr>
        <w:t xml:space="preserve"> because they fail to satisfy the scope and configuration requirements of Order No. 2000.  The Commission  notes that the required discussions between SPP and Entergy and its neighboring RTO/TOs has led to no increase in the original scope and configuration.  The filings by SPP and Entergy were brief, indicating only a lack of interest by other RTOs or utilities in joining to enlarge scope; they failed to specify any details of the talks, what changes could be made or what could be fixed to accomodate combination with other RTOs.  The order states that the Commission favors the development of large, regional transmission organizations reflecting natural markets.  The Commission indicates that they favor four RTOs - NE, SE, MW and West.  Therefore the order requires the participants in SPP and Entergy to participate in settlement discussions as set out in the mediation order.  Note that these meetings will start next Tuesday, July 17 before a FERC ALJ.</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pPr>
      <w:r>
        <w:rPr>
          <w:rFonts w:cs="Helv;Arial" w:ascii="Helv;Arial" w:hAnsi="Helv;Arial"/>
          <w:b/>
          <w:bCs/>
          <w:color w:val="000000"/>
          <w:sz w:val="20"/>
          <w:szCs w:val="20"/>
        </w:rPr>
        <w:t xml:space="preserve">The Southern Company RTO is also found by the FERC to fail the scope characteristics of Order No. 2000. </w:t>
      </w:r>
      <w:r>
        <w:rPr>
          <w:rFonts w:cs="Helv;Arial" w:ascii="Helv;Arial" w:hAnsi="Helv;Arial"/>
          <w:color w:val="000000"/>
          <w:sz w:val="20"/>
          <w:szCs w:val="20"/>
        </w:rPr>
        <w:t xml:space="preserve"> The order finds that Southern's approach to focus on MOUs and seams issues with its neighbors is inadequate.  The order states, "We reiterate: the Commission's goal is to have a </w:t>
      </w:r>
      <w:r>
        <w:rPr>
          <w:rFonts w:cs="Helv;Arial" w:ascii="Helv;Arial" w:hAnsi="Helv;Arial"/>
          <w:i/>
          <w:iCs/>
          <w:color w:val="000000"/>
          <w:sz w:val="20"/>
          <w:szCs w:val="20"/>
        </w:rPr>
        <w:t>single</w:t>
      </w:r>
      <w:r>
        <w:rPr>
          <w:rFonts w:cs="Helv;Arial" w:ascii="Helv;Arial" w:hAnsi="Helv;Arial"/>
          <w:color w:val="000000"/>
          <w:sz w:val="20"/>
          <w:szCs w:val="20"/>
        </w:rPr>
        <w:t xml:space="preserve"> RTO in the Southeast, and to have that single RTO operational as soon as possible."  The Commission recognizes that start-up costs in forming a larger RTO may be more, but that over the longer term, large RTOs will foster market development, will provide increased reliability and will result in lower wholesale electricity prices.  The order therefore directs the parties to the mediation as stated above.</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pPr>
      <w:r>
        <w:rPr>
          <w:rFonts w:cs="Helv;Arial" w:ascii="Helv;Arial" w:hAnsi="Helv;Arial"/>
          <w:b/>
          <w:bCs/>
          <w:color w:val="000000"/>
          <w:sz w:val="20"/>
          <w:szCs w:val="20"/>
        </w:rPr>
        <w:t>The Grid South participants are also directed to the mediation</w:t>
      </w:r>
      <w:r>
        <w:rPr>
          <w:rFonts w:cs="Helv;Arial" w:ascii="Helv;Arial" w:hAnsi="Helv;Arial"/>
          <w:color w:val="000000"/>
          <w:sz w:val="20"/>
          <w:szCs w:val="20"/>
        </w:rPr>
        <w:t xml:space="preserve"> which is starting on next Tuesday.  It is a lengthier order with more details on other aspects of RTOs, including Independent Board requirement, congestion managment, interconnection procedures, planning process and CBM.  Therefore, I am attaching a summary of the order.  One of the important findings of the order is that GridSouth is not sufficiently independent; the Applicant TOs are making policy decisions that should be made by an independent board.  Therefore, the order requires GridSouth to install an independent board and file a compliance filing within 90 days.</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32"/>
          <w:szCs w:val="20"/>
        </w:rPr>
      </w:pPr>
      <w:r>
        <w:rPr>
          <w:rFonts w:cs="Helv;Arial" w:ascii="Helv;Arial" w:hAnsi="Helv;Arial"/>
          <w:color w:val="000000"/>
          <w:sz w:val="32"/>
          <w:szCs w:val="20"/>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its footnote (footnote 24), the Commission states that the following issues that were raised by intervenors are better addressed in separate proceedings:  ICAP requirements, expansion of the trading of FTRs, revision of the definition of market power, termination of CBM procedures, and the need for unscheduled deliveries by intermittent generators.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28"/>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z w:val="28"/>
    </w:rPr>
  </w:style>
  <w:style w:type="paragraph" w:styleId="FootnoteText">
    <w:name w:val="footnote text"/>
    <w:basedOn w:val="Normal"/>
    <w:pPr/>
    <w:rPr>
      <w:sz w:val="20"/>
      <w:szCs w:val="20"/>
    </w:rPr>
  </w:style>
  <w:style w:type="paragraph" w:styleId="Body">
    <w:name w:val="Body"/>
    <w:basedOn w:val="Normal"/>
    <w:qFormat/>
    <w:pPr>
      <w:ind w:hanging="0" w:start="72" w:end="0"/>
    </w:pPr>
    <w:rPr>
      <w:rFonts w:ascii="Arial" w:hAnsi="Arial" w:cs="Arial"/>
      <w:color w:val="000080"/>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2001-07-23T20:34:00Z</dcterms:created>
  <dc:creator>snovose</dc:creator>
  <dc:description/>
  <dc:language>en-CA</dc:language>
  <cp:lastModifiedBy>snovose</cp:lastModifiedBy>
  <dcterms:modified xsi:type="dcterms:W3CDTF">2001-07-23T22:11:00Z</dcterms:modified>
  <cp:revision>1</cp:revision>
  <dc:subject/>
  <dc:title>FERC July 12, 2001 Orders on RTO Development</dc:title>
</cp:coreProperties>
</file>