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November 8, 2001</w:t>
      </w:r>
    </w:p>
    <w:p>
      <w:pPr>
        <w:pStyle w:val="Normal"/>
        <w:rPr/>
      </w:pPr>
      <w:r>
        <w:rPr/>
      </w:r>
    </w:p>
    <w:p>
      <w:pPr>
        <w:pStyle w:val="Normal"/>
        <w:rPr/>
      </w:pPr>
      <w:r>
        <w:rPr/>
      </w:r>
    </w:p>
    <w:p>
      <w:pPr>
        <w:pStyle w:val="Normal"/>
        <w:rPr/>
      </w:pPr>
      <w:r>
        <w:rPr/>
        <w:t>Mr. David Boergers</w:t>
      </w:r>
    </w:p>
    <w:p>
      <w:pPr>
        <w:pStyle w:val="Normal"/>
        <w:rPr/>
      </w:pPr>
      <w:r>
        <w:rPr/>
        <w:t>Secretary</w:t>
      </w:r>
    </w:p>
    <w:p>
      <w:pPr>
        <w:pStyle w:val="Normal"/>
        <w:rPr/>
      </w:pPr>
      <w:r>
        <w:rPr/>
        <w:t>Federal Energy Regulatory Commission</w:t>
      </w:r>
    </w:p>
    <w:p>
      <w:pPr>
        <w:pStyle w:val="Normal"/>
        <w:rPr/>
      </w:pPr>
      <w:r>
        <w:rPr/>
        <w:t>888 First Street N.E.</w:t>
      </w:r>
    </w:p>
    <w:p>
      <w:pPr>
        <w:pStyle w:val="Normal"/>
        <w:rPr/>
      </w:pPr>
      <w:r>
        <w:rPr/>
        <w:t>Washington, D.C.  20426</w:t>
      </w:r>
    </w:p>
    <w:p>
      <w:pPr>
        <w:pStyle w:val="Normal"/>
        <w:rPr/>
      </w:pPr>
      <w:r>
        <w:rPr/>
      </w:r>
    </w:p>
    <w:p>
      <w:pPr>
        <w:pStyle w:val="Normal"/>
        <w:rPr/>
      </w:pPr>
      <w:r>
        <w:rPr/>
      </w:r>
    </w:p>
    <w:p>
      <w:pPr>
        <w:pStyle w:val="Normal"/>
        <w:rPr/>
      </w:pPr>
      <w:r>
        <w:rPr/>
        <w:t>RE:</w:t>
        <w:tab/>
        <w:t>Electricity Market Design and Structure; Docket No. RM01-12-000</w:t>
      </w:r>
    </w:p>
    <w:p>
      <w:pPr>
        <w:pStyle w:val="Normal"/>
        <w:rPr/>
      </w:pPr>
      <w:r>
        <w:rPr/>
      </w:r>
    </w:p>
    <w:p>
      <w:pPr>
        <w:pStyle w:val="Normal"/>
        <w:rPr/>
      </w:pPr>
      <w:r>
        <w:rPr/>
        <w:t>Dear Mr. Boergers:</w:t>
      </w:r>
    </w:p>
    <w:p>
      <w:pPr>
        <w:pStyle w:val="Normal"/>
        <w:rPr/>
      </w:pPr>
      <w:r>
        <w:rPr/>
      </w:r>
    </w:p>
    <w:p>
      <w:pPr>
        <w:pStyle w:val="BodyText"/>
        <w:rPr/>
      </w:pPr>
      <w:r>
        <w:rPr/>
        <w:t>Pursuant to the Commission’s direction to industry participants to provide comments regarding the currently pending Regional Transmission Organization (“RTO”) process, Constellation Power Source, Inc. (“CPS”) hereby provides the following comments and the affidavit of Dr. Larry E. Ruff regarding RTO structure.  CPS is a power marketer whose business is nation-wide in scope including both ISO administered and bi-lateral markets.  CPS is an affiliate of the Baltimore Gas and Electric Company (“BGE”), a gas and electric distribution utility serving customers in central Maryland.  CPS can provide a unique perspective for the Commission’s consideration regarding RTO structure due to its and its employees’ firsthand involvement in the successful restructuring of Pennsylvania-New Jersey-Maryland Interconnection (“PJM”) from a utility dominated power pool into a successful independent ISO, as well as CPS’s active participation as a power marketer trading in ISO administered and bi-lateral markets and serving utility standard offer service obligations in various ISO markets.</w:t>
      </w:r>
    </w:p>
    <w:p>
      <w:pPr>
        <w:pStyle w:val="Normal"/>
        <w:rPr/>
      </w:pPr>
      <w:r>
        <w:rPr/>
      </w:r>
    </w:p>
    <w:p>
      <w:pPr>
        <w:pStyle w:val="BodyText"/>
        <w:rPr/>
      </w:pPr>
      <w:r>
        <w:rPr/>
        <w:t xml:space="preserve">CPS is encouraged by and supportive of the Commission’s effort to expedite and standardize, to the degree practicable, RTO formation across the country.  In these comments and the attached affidavit, CPS emphasizes the need to properly define the functional scope of an RTO and highlights the need for such scope to include the RTO’s administration of day ahead and real time spot markets in addition to its reliability and transmission obligations. </w:t>
      </w:r>
    </w:p>
    <w:p>
      <w:pPr>
        <w:pStyle w:val="BodyText"/>
        <w:rPr/>
      </w:pPr>
      <w:r>
        <w:rPr/>
      </w:r>
    </w:p>
    <w:p>
      <w:pPr>
        <w:pStyle w:val="BodyText"/>
        <w:rPr/>
      </w:pPr>
      <w:r>
        <w:rPr/>
        <w:t xml:space="preserve">During the RTO week process, certain participants advocated a structure in which the RTO would be the administrator of a larger scope Order No. 888 tariff.  While improvements and standardization of a </w:t>
      </w:r>
      <w:r>
        <w:rPr>
          <w:i/>
        </w:rPr>
        <w:t>pro forma</w:t>
      </w:r>
      <w:r>
        <w:rPr/>
        <w:t xml:space="preserve"> tariff for RTOs would be beneficial, CPS believes that the goal of a robust, liquid market for electricity transactions including energy, capacity, ancillary services, and transmission, is best accomplished by a more substantial functional scope for the RTO.  Specifically, the RTOs should include:</w:t>
      </w:r>
    </w:p>
    <w:p>
      <w:pPr>
        <w:pStyle w:val="BodyText"/>
        <w:rPr/>
      </w:pPr>
      <w:r>
        <w:rPr/>
      </w:r>
    </w:p>
    <w:p>
      <w:pPr>
        <w:pStyle w:val="Normal"/>
        <w:numPr>
          <w:ilvl w:val="0"/>
          <w:numId w:val="2"/>
        </w:numPr>
        <w:rPr/>
      </w:pPr>
      <w:r>
        <w:rPr/>
        <w:t>Operation of a physical spot market, both day-ahead and real time, for energy and ancillary services.</w:t>
      </w:r>
      <w:r>
        <w:rPr>
          <w:rStyle w:val="FootnoteCharacters"/>
          <w:rStyle w:val="FootnoteReference"/>
        </w:rPr>
        <w:footnoteReference w:id="2"/>
      </w:r>
    </w:p>
    <w:p>
      <w:pPr>
        <w:pStyle w:val="Normal"/>
        <w:numPr>
          <w:ilvl w:val="0"/>
          <w:numId w:val="2"/>
        </w:numPr>
        <w:rPr/>
      </w:pPr>
      <w:r>
        <w:rPr/>
        <w:t>Use of locational marginal pricing (“LMP”) as the basis for the energy market and as the mechanism to calculate congestion costs.</w:t>
      </w:r>
    </w:p>
    <w:p>
      <w:pPr>
        <w:pStyle w:val="Normal"/>
        <w:numPr>
          <w:ilvl w:val="0"/>
          <w:numId w:val="1"/>
        </w:numPr>
        <w:rPr/>
      </w:pPr>
      <w:r>
        <w:rPr/>
        <w:t xml:space="preserve">Administration of a system of financial transmission rights (“FTRs”) to hedge the cost of congestion between locations.  </w:t>
      </w:r>
    </w:p>
    <w:p>
      <w:pPr>
        <w:pStyle w:val="Normal"/>
        <w:numPr>
          <w:ilvl w:val="0"/>
          <w:numId w:val="1"/>
        </w:numPr>
        <w:rPr/>
      </w:pPr>
      <w:r>
        <w:rPr/>
        <w:t>Facilitation of trading by working with market participants to define and administer trading locations, or “hubs,” that are a combination of LMP busses.</w:t>
      </w:r>
    </w:p>
    <w:p>
      <w:pPr>
        <w:pStyle w:val="Normal"/>
        <w:numPr>
          <w:ilvl w:val="0"/>
          <w:numId w:val="2"/>
        </w:numPr>
        <w:rPr/>
      </w:pPr>
      <w:r>
        <w:rPr/>
        <w:t xml:space="preserve">In conjunction with operation of the spot market, performance of clearinghouse activities, such as settlement, billing and credit functions. </w:t>
      </w:r>
    </w:p>
    <w:p>
      <w:pPr>
        <w:pStyle w:val="Normal"/>
        <w:numPr>
          <w:ilvl w:val="0"/>
          <w:numId w:val="2"/>
        </w:numPr>
        <w:rPr/>
      </w:pPr>
      <w:r>
        <w:rPr/>
        <w:t>Associated with the operation of the market, the provision of transparency to market participants through the publication of spot market clearing prices and ancillary service costs on a regular basis.</w:t>
      </w:r>
    </w:p>
    <w:p>
      <w:pPr>
        <w:pStyle w:val="Normal"/>
        <w:numPr>
          <w:ilvl w:val="0"/>
          <w:numId w:val="2"/>
        </w:numPr>
        <w:rPr/>
      </w:pPr>
      <w:r>
        <w:rPr/>
        <w:t>Administration of an appropriate reliability assurance mechanism such as a capacity or forward reserves market.</w:t>
      </w:r>
    </w:p>
    <w:p>
      <w:pPr>
        <w:pStyle w:val="BodyText"/>
        <w:rPr/>
      </w:pPr>
      <w:r>
        <w:rPr/>
      </w:r>
    </w:p>
    <w:p>
      <w:pPr>
        <w:pStyle w:val="BodyText"/>
        <w:rPr/>
      </w:pPr>
      <w:r>
        <w:rPr/>
        <w:t xml:space="preserve">These functions provide a framework that will facilitate the purchase and sale of all electricity products in both spot and forward markets.  In addition, these functions will create markets that are reasonably transparent and will therefore support the creation of financial products such as options, swaps and derivatives.   </w:t>
      </w:r>
    </w:p>
    <w:p>
      <w:pPr>
        <w:pStyle w:val="BodyText"/>
        <w:rPr/>
      </w:pPr>
      <w:r>
        <w:rPr/>
      </w:r>
    </w:p>
    <w:p>
      <w:pPr>
        <w:pStyle w:val="BodyText"/>
        <w:rPr/>
      </w:pPr>
      <w:r>
        <w:rPr/>
        <w:t xml:space="preserve">As set forth, this framework will require that the RTO, together with its transmission and reliability functions, undertake the administration of a physical, real time, spot market for such products.  While not fully developed in all respects, the PJM and other ISO market models (which include locational marginal pricing) currently provide an effective platform to assure reliability, while at the same time providing a structure for market participants to enter into forward transactions including providing load following service through contractually based arrangements which do not require the physical ownership of generating units.  As such, these existing market models should serve as the foundation for the Commission to build and improve on existing RTO models.  Features of these markets, including pool administered trading hubs and ancillary service product clearing mechanisms are essential for the development of robust competitive markets for electricity.  Through the existence of market features such as the foregoing:  generators can obtain the market value for the output of their units as a result of their ability to make segregable sales of capacity, energy, and ancillary services; marketers can utilize risk management skills and innovative processes to provide services such as load following requirements service to wholesale and retail customers; and customers can obtain the lowest reasonable market price available from the greatest number of competitors. </w:t>
      </w:r>
    </w:p>
    <w:p>
      <w:pPr>
        <w:pStyle w:val="BodyText"/>
        <w:rPr/>
      </w:pPr>
      <w:r>
        <w:rPr/>
      </w:r>
    </w:p>
    <w:p>
      <w:pPr>
        <w:pStyle w:val="BodyText"/>
        <w:rPr/>
      </w:pPr>
      <w:r>
        <w:rPr/>
        <w:t xml:space="preserve">Thus, in order to facilitate the liquid and seamless trading of electricity products, the Commission should, to the extent practicable, standardize the foregoing market components for implementation in all RTOs as a minimum platform while allowing for the further evolution of these markets as they mature.  In addition, market rules between RTOs should also be standardized in order to ensure the free flow of electricity products across RTO boundaries.  </w:t>
      </w:r>
    </w:p>
    <w:p>
      <w:pPr>
        <w:pStyle w:val="BodyText"/>
        <w:rPr/>
      </w:pPr>
      <w:r>
        <w:rPr/>
        <w:t xml:space="preserve"> </w:t>
      </w:r>
    </w:p>
    <w:p>
      <w:pPr>
        <w:pStyle w:val="BodyText"/>
        <w:rPr/>
      </w:pPr>
      <w:r>
        <w:rPr/>
        <w:t xml:space="preserve">CPS believes that if the Commission succeeds in its efforts to get the functional scope and components of RTOs right, competitive markets will be greatly furthered.  On the other hand, if the Commission does not include these necessary functions within the scope  of an RTO and instead simply  maintains  the structure of the Order No. 888 tariffs, competitive markets providing the scope of necessary products required by buyers and sellers will be negatively impacted.  </w:t>
      </w:r>
    </w:p>
    <w:p>
      <w:pPr>
        <w:pStyle w:val="Normal"/>
        <w:jc w:val="both"/>
        <w:rPr/>
      </w:pPr>
      <w:r>
        <w:rPr/>
      </w:r>
    </w:p>
    <w:p>
      <w:pPr>
        <w:pStyle w:val="BodyText"/>
        <w:rPr/>
      </w:pPr>
      <w:r>
        <w:rPr/>
        <w:t xml:space="preserve">Accordingly, attached is an affidavit prepared by Dr. Larry E. Ruff, which sets forth in more detail, the most critical functional and organizational requirements for RTOs.    </w:t>
      </w:r>
    </w:p>
    <w:p>
      <w:pPr>
        <w:pStyle w:val="BodyText"/>
        <w:rPr/>
      </w:pPr>
      <w:r>
        <w:rPr/>
      </w:r>
    </w:p>
    <w:p>
      <w:pPr>
        <w:pStyle w:val="BodyText"/>
        <w:rPr/>
      </w:pPr>
      <w:r>
        <w:rPr/>
      </w:r>
    </w:p>
    <w:p>
      <w:pPr>
        <w:pStyle w:val="Normal"/>
        <w:rPr/>
      </w:pPr>
      <w:r>
        <w:rPr/>
        <w:t>Very truly yours,</w:t>
      </w:r>
    </w:p>
    <w:p>
      <w:pPr>
        <w:pStyle w:val="Normal"/>
        <w:rPr/>
      </w:pPr>
      <w:r>
        <w:rPr/>
      </w:r>
    </w:p>
    <w:p>
      <w:pPr>
        <w:pStyle w:val="Normal"/>
        <w:rPr/>
      </w:pPr>
      <w:r>
        <w:rPr/>
      </w:r>
    </w:p>
    <w:p>
      <w:pPr>
        <w:pStyle w:val="Normal"/>
        <w:rPr/>
      </w:pPr>
      <w:r>
        <w:rPr/>
      </w:r>
    </w:p>
    <w:p>
      <w:pPr>
        <w:pStyle w:val="Normal"/>
        <w:rPr/>
      </w:pPr>
      <w:r>
        <w:rPr/>
        <w:t>David M. Perlman, Esq.</w:t>
      </w:r>
    </w:p>
    <w:p>
      <w:pPr>
        <w:pStyle w:val="Normal"/>
        <w:rPr/>
      </w:pPr>
      <w:r>
        <w:rPr/>
        <w:t xml:space="preserve">General Counsel </w:t>
      </w:r>
    </w:p>
    <w:p>
      <w:pPr>
        <w:pStyle w:val="Normal"/>
        <w:rPr/>
      </w:pPr>
      <w:r>
        <w:rPr/>
        <w:t>Phone: (410) 468-3490</w:t>
      </w:r>
    </w:p>
    <w:p>
      <w:pPr>
        <w:pStyle w:val="Normal"/>
        <w:rPr/>
      </w:pPr>
      <w:r>
        <w:rPr/>
        <w:t>Fax:  (410) 468-3499</w:t>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Constellation recognizes that not all ancillary services have received approval to operate as markets and that, in these instances, ancillary services costs are typically recovered through RTO uplift charges.  Constellation supports the development of ancillary service markets within the RTO structure.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end"/>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3</w:t>
    </w:r>
    <w:r>
      <w:rPr>
        <w:lang w:eastAsia="en-US"/>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2001-11-07T12:05:00Z</dcterms:created>
  <dc:creator>stewal</dc:creator>
  <dc:description/>
  <dc:language>en-CA</dc:language>
  <cp:lastModifiedBy>stewal</cp:lastModifiedBy>
  <cp:lastPrinted>2001-11-08T10:46:00Z</cp:lastPrinted>
  <dcterms:modified xsi:type="dcterms:W3CDTF">2001-11-08T13:31:00Z</dcterms:modified>
  <cp:revision>27</cp:revision>
  <dc:subject/>
  <dc:title>November 1, 2001</dc:title>
</cp:coreProperties>
</file>