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80" w:type="dxa"/>
        <w:jc w:val="start"/>
        <w:tblInd w:w="-972" w:type="dxa"/>
        <w:tblLayout w:type="fixed"/>
        <w:tblCellMar>
          <w:top w:w="0" w:type="dxa"/>
          <w:start w:w="108" w:type="dxa"/>
          <w:bottom w:w="0" w:type="dxa"/>
          <w:end w:w="108" w:type="dxa"/>
        </w:tblCellMar>
      </w:tblPr>
      <w:tblGrid>
        <w:gridCol w:w="2340"/>
        <w:gridCol w:w="8640"/>
      </w:tblGrid>
      <w:tr>
        <w:trPr/>
        <w:tc>
          <w:tcPr>
            <w:tcW w:w="2340" w:type="dxa"/>
            <w:tcBorders>
              <w:top w:val="single" w:sz="4" w:space="0" w:color="000000"/>
              <w:start w:val="single" w:sz="4" w:space="0" w:color="000000"/>
              <w:bottom w:val="single" w:sz="4" w:space="0" w:color="000000"/>
              <w:end w:val="single" w:sz="4" w:space="0" w:color="000000"/>
            </w:tcBorders>
          </w:tcPr>
          <w:p>
            <w:pPr>
              <w:pStyle w:val="Heading5"/>
              <w:keepNext w:val="false"/>
              <w:snapToGrid w:val="false"/>
              <w:ind w:hanging="0" w:start="0"/>
              <w:rPr/>
            </w:pPr>
            <w:r>
              <w:rPr/>
            </w:r>
          </w:p>
          <w:p>
            <w:pPr>
              <w:pStyle w:val="Heading5"/>
              <w:keepNext w:val="false"/>
              <w:ind w:hanging="0" w:start="0"/>
              <w:rPr/>
            </w:pPr>
            <w:r>
              <w:rPr/>
              <w:t>STEVE WALTON</w:t>
            </w:r>
          </w:p>
          <w:p>
            <w:pPr>
              <w:pStyle w:val="Normal"/>
              <w:rPr/>
            </w:pPr>
            <w:r>
              <w:rPr/>
              <w:t>(713) 345-7793</w:t>
            </w:r>
          </w:p>
          <w:p>
            <w:pPr>
              <w:pStyle w:val="Normal"/>
              <w:rPr/>
            </w:pPr>
            <w:r>
              <w:rPr/>
              <w:t>(713) 594-3142 cell</w:t>
            </w:r>
          </w:p>
        </w:tc>
        <w:tc>
          <w:tcPr>
            <w:tcW w:w="8640" w:type="dxa"/>
            <w:tcBorders>
              <w:top w:val="single" w:sz="4" w:space="0" w:color="000000"/>
              <w:start w:val="single" w:sz="4" w:space="0" w:color="000000"/>
              <w:bottom w:val="single" w:sz="4" w:space="0" w:color="000000"/>
              <w:end w:val="single" w:sz="4" w:space="0" w:color="000000"/>
            </w:tcBorders>
          </w:tcPr>
          <w:p>
            <w:pPr>
              <w:pStyle w:val="Heading4"/>
              <w:keepNext w:val="false"/>
              <w:snapToGrid w:val="false"/>
              <w:ind w:hanging="0" w:start="0"/>
              <w:rPr>
                <w:rFonts w:cs="Times New Roman"/>
                <w:sz w:val="24"/>
              </w:rPr>
            </w:pPr>
            <w:r>
              <w:rPr>
                <w:rFonts w:cs="Times New Roman"/>
                <w:sz w:val="24"/>
              </w:rPr>
            </w:r>
          </w:p>
          <w:p>
            <w:pPr>
              <w:pStyle w:val="Heading4"/>
              <w:keepNext w:val="false"/>
              <w:ind w:hanging="0" w:start="0"/>
              <w:jc w:val="center"/>
              <w:rPr>
                <w:rFonts w:cs="Times New Roman"/>
                <w:sz w:val="24"/>
              </w:rPr>
            </w:pPr>
            <w:r>
              <w:rPr>
                <w:rFonts w:cs="Times New Roman"/>
                <w:sz w:val="24"/>
              </w:rPr>
              <w:t>RTO WEST</w:t>
            </w:r>
          </w:p>
          <w:p>
            <w:pPr>
              <w:pStyle w:val="Normal"/>
              <w:rPr/>
            </w:pPr>
            <w:r>
              <w:rPr/>
              <w:tab/>
            </w:r>
          </w:p>
          <w:p>
            <w:pPr>
              <w:pStyle w:val="Normal"/>
              <w:ind w:hanging="1440" w:start="1440" w:end="0"/>
              <w:jc w:val="both"/>
              <w:rPr/>
            </w:pPr>
            <w:r>
              <w:rPr>
                <w:b/>
                <w:bCs/>
                <w:kern w:val="2"/>
                <w:szCs w:val="32"/>
              </w:rPr>
              <w:t>Region</w:t>
            </w:r>
            <w:r>
              <w:rPr/>
              <w:t>:   Greater Pacific Northwest, i.e., State of Washington, Oregon, Idaho, Montana, Nevada, Utah, and Wyoming with potential of including Provinces of British Columbia and Alberta.</w:t>
            </w:r>
          </w:p>
          <w:p>
            <w:pPr>
              <w:pStyle w:val="Normal"/>
              <w:ind w:hanging="1440" w:start="1440" w:end="0"/>
              <w:jc w:val="both"/>
              <w:rPr/>
            </w:pPr>
            <w:r>
              <w:rPr/>
            </w:r>
          </w:p>
          <w:p>
            <w:pPr>
              <w:pStyle w:val="Normal"/>
              <w:jc w:val="both"/>
              <w:rPr/>
            </w:pPr>
            <w:r>
              <w:rPr/>
              <w:tab/>
            </w:r>
            <w:r>
              <w:rPr>
                <w:u w:val="single"/>
              </w:rPr>
              <w:t>Filing Utilities</w:t>
            </w:r>
            <w:r>
              <w:rPr/>
              <w:t>:</w:t>
            </w:r>
          </w:p>
          <w:p>
            <w:pPr>
              <w:pStyle w:val="Normal"/>
              <w:numPr>
                <w:ilvl w:val="1"/>
                <w:numId w:val="3"/>
              </w:numPr>
              <w:jc w:val="both"/>
              <w:rPr/>
            </w:pPr>
            <w:r>
              <w:rPr/>
              <w:t>*Avista Corporation</w:t>
            </w:r>
          </w:p>
          <w:p>
            <w:pPr>
              <w:pStyle w:val="Normal"/>
              <w:numPr>
                <w:ilvl w:val="1"/>
                <w:numId w:val="3"/>
              </w:numPr>
              <w:jc w:val="both"/>
              <w:rPr/>
            </w:pPr>
            <w:r>
              <w:rPr/>
              <w:t>Bonneville Power Administration</w:t>
            </w:r>
          </w:p>
          <w:p>
            <w:pPr>
              <w:pStyle w:val="Normal"/>
              <w:numPr>
                <w:ilvl w:val="1"/>
                <w:numId w:val="3"/>
              </w:numPr>
              <w:jc w:val="both"/>
              <w:rPr/>
            </w:pPr>
            <w:r>
              <w:rPr/>
              <w:t>Idaho Power Company</w:t>
            </w:r>
          </w:p>
          <w:p>
            <w:pPr>
              <w:pStyle w:val="Normal"/>
              <w:numPr>
                <w:ilvl w:val="1"/>
                <w:numId w:val="3"/>
              </w:numPr>
              <w:jc w:val="both"/>
              <w:rPr/>
            </w:pPr>
            <w:r>
              <w:rPr/>
              <w:t>*Montana Power Company</w:t>
            </w:r>
          </w:p>
          <w:p>
            <w:pPr>
              <w:pStyle w:val="Normal"/>
              <w:numPr>
                <w:ilvl w:val="1"/>
                <w:numId w:val="3"/>
              </w:numPr>
              <w:jc w:val="both"/>
              <w:rPr/>
            </w:pPr>
            <w:r>
              <w:rPr/>
              <w:t>*Nevada Power Company</w:t>
            </w:r>
          </w:p>
          <w:p>
            <w:pPr>
              <w:pStyle w:val="Normal"/>
              <w:numPr>
                <w:ilvl w:val="1"/>
                <w:numId w:val="3"/>
              </w:numPr>
              <w:jc w:val="both"/>
              <w:rPr/>
            </w:pPr>
            <w:r>
              <w:rPr/>
              <w:t>PacifiCorp</w:t>
            </w:r>
          </w:p>
          <w:p>
            <w:pPr>
              <w:pStyle w:val="Normal"/>
              <w:numPr>
                <w:ilvl w:val="1"/>
                <w:numId w:val="3"/>
              </w:numPr>
              <w:jc w:val="both"/>
              <w:rPr/>
            </w:pPr>
            <w:r>
              <w:rPr/>
              <w:t>*Portland General Electric Company</w:t>
            </w:r>
          </w:p>
          <w:p>
            <w:pPr>
              <w:pStyle w:val="Normal"/>
              <w:numPr>
                <w:ilvl w:val="1"/>
                <w:numId w:val="3"/>
              </w:numPr>
              <w:jc w:val="both"/>
              <w:rPr/>
            </w:pPr>
            <w:r>
              <w:rPr/>
              <w:t>*Puget Sound Energy, Inc.</w:t>
            </w:r>
          </w:p>
          <w:p>
            <w:pPr>
              <w:pStyle w:val="Normal"/>
              <w:numPr>
                <w:ilvl w:val="1"/>
                <w:numId w:val="3"/>
              </w:numPr>
              <w:jc w:val="both"/>
              <w:rPr/>
            </w:pPr>
            <w:r>
              <w:rPr/>
              <w:t>*Sierra Pacific Power Company</w:t>
            </w:r>
          </w:p>
          <w:p>
            <w:pPr>
              <w:pStyle w:val="Normal"/>
              <w:ind w:start="1080" w:end="0"/>
              <w:jc w:val="both"/>
              <w:rPr/>
            </w:pPr>
            <w:r>
              <w:rPr/>
            </w:r>
          </w:p>
          <w:p>
            <w:pPr>
              <w:pStyle w:val="Normal"/>
              <w:ind w:start="1080" w:end="0"/>
              <w:jc w:val="both"/>
              <w:rPr/>
            </w:pPr>
            <w:r>
              <w:rPr/>
              <w:t>* TransConnect companies</w:t>
            </w:r>
          </w:p>
          <w:p>
            <w:pPr>
              <w:pStyle w:val="Normal"/>
              <w:jc w:val="both"/>
              <w:rPr/>
            </w:pPr>
            <w:r>
              <w:rPr/>
            </w:r>
          </w:p>
          <w:p>
            <w:pPr>
              <w:pStyle w:val="Heading"/>
              <w:jc w:val="both"/>
              <w:rPr>
                <w:rFonts w:ascii="Times New Roman" w:hAnsi="Times New Roman" w:cs="Times New Roman"/>
                <w:sz w:val="24"/>
                <w:u w:val="single"/>
              </w:rPr>
            </w:pPr>
            <w:r>
              <w:rPr>
                <w:rFonts w:cs="Times New Roman" w:ascii="Times New Roman" w:hAnsi="Times New Roman"/>
                <w:sz w:val="24"/>
                <w:u w:val="single"/>
              </w:rPr>
              <w:t>Top Three Enron Issues</w:t>
            </w:r>
          </w:p>
          <w:p>
            <w:pPr>
              <w:pStyle w:val="Normal"/>
              <w:ind w:start="360" w:end="0"/>
              <w:jc w:val="both"/>
              <w:rPr>
                <w:rFonts w:ascii="Times New Roman" w:hAnsi="Times New Roman" w:cs="Times New Roman"/>
                <w:sz w:val="24"/>
                <w:u w:val="single"/>
              </w:rPr>
            </w:pPr>
            <w:r>
              <w:rPr>
                <w:rFonts w:cs="Times New Roman"/>
                <w:sz w:val="24"/>
                <w:u w:val="single"/>
              </w:rPr>
            </w:r>
          </w:p>
          <w:p>
            <w:pPr>
              <w:pStyle w:val="Normal"/>
              <w:numPr>
                <w:ilvl w:val="0"/>
                <w:numId w:val="10"/>
              </w:numPr>
              <w:jc w:val="both"/>
              <w:rPr>
                <w:b/>
                <w:bCs/>
              </w:rPr>
            </w:pPr>
            <w:r>
              <w:rPr>
                <w:b/>
                <w:bCs/>
              </w:rPr>
              <w:t>Congestion Management – System Configuration</w:t>
            </w:r>
          </w:p>
          <w:p>
            <w:pPr>
              <w:pStyle w:val="Normal"/>
              <w:numPr>
                <w:ilvl w:val="0"/>
                <w:numId w:val="4"/>
              </w:numPr>
              <w:jc w:val="both"/>
              <w:rPr>
                <w:b/>
                <w:bCs/>
              </w:rPr>
            </w:pPr>
            <w:r>
              <w:rPr>
                <w:u w:val="single"/>
              </w:rPr>
              <w:t>Status</w:t>
            </w:r>
            <w:r>
              <w:rPr/>
              <w:t xml:space="preserve"> – Some Filing Utilities tried to take the process back to contract path where all congestion cost would be hidden and leave the filing utilities using their existing contracts and flexibility (read native load exemption) going forward.  After two months of debate, the discussion has moved back to a flow based physical rights model but with thresholds added to minimize the number of elements required to schedule although a party would be financially responsible for FTRs they did not hold.  This compromise represents partially uncovered schedules with financial obligations under ex-post prices.</w:t>
            </w:r>
          </w:p>
          <w:p>
            <w:pPr>
              <w:pStyle w:val="Normal"/>
              <w:numPr>
                <w:ilvl w:val="0"/>
                <w:numId w:val="4"/>
              </w:numPr>
              <w:jc w:val="both"/>
              <w:rPr>
                <w:b/>
                <w:bCs/>
              </w:rPr>
            </w:pPr>
            <w:r>
              <w:rPr>
                <w:u w:val="single"/>
              </w:rPr>
              <w:t>Major Issues Pending</w:t>
            </w:r>
            <w:r>
              <w:rPr/>
              <w:t xml:space="preserve"> – (1) Identification of the flowpaths to be monitored and the number of resulting zones, (2) calculation of the Flow Distribution Factors, (3) procedures for creating/eliminating flowpaths and zones and (4) the effect of system expansion on the zones.</w:t>
            </w:r>
          </w:p>
          <w:p>
            <w:pPr>
              <w:pStyle w:val="Normal"/>
              <w:numPr>
                <w:ilvl w:val="0"/>
                <w:numId w:val="4"/>
              </w:numPr>
              <w:jc w:val="both"/>
              <w:rPr>
                <w:b/>
                <w:bCs/>
              </w:rPr>
            </w:pPr>
            <w:r>
              <w:rPr>
                <w:u w:val="single"/>
              </w:rPr>
              <w:t>Strategy</w:t>
            </w:r>
            <w:r>
              <w:rPr/>
              <w:t xml:space="preserve"> – Working with other marketers to keep the model as simple as possible [Items (1) and (2)] and actively drafting positions on the methods for adapting to future changes [Items (3) and (4)].  </w:t>
            </w:r>
          </w:p>
          <w:p>
            <w:pPr>
              <w:pStyle w:val="Normal"/>
              <w:ind w:start="720" w:end="0"/>
              <w:jc w:val="both"/>
              <w:rPr>
                <w:b/>
                <w:bCs/>
              </w:rPr>
            </w:pPr>
            <w:r>
              <w:rPr>
                <w:b/>
                <w:bCs/>
              </w:rPr>
            </w:r>
          </w:p>
          <w:p>
            <w:pPr>
              <w:pStyle w:val="Normal"/>
              <w:numPr>
                <w:ilvl w:val="0"/>
                <w:numId w:val="5"/>
              </w:numPr>
              <w:jc w:val="both"/>
              <w:rPr>
                <w:b/>
                <w:bCs/>
              </w:rPr>
            </w:pPr>
            <w:r>
              <w:rPr>
                <w:b/>
                <w:bCs/>
              </w:rPr>
              <w:t>Congestion Management – Allocation/Auction of FTRs</w:t>
            </w:r>
          </w:p>
          <w:p>
            <w:pPr>
              <w:pStyle w:val="Normal"/>
              <w:numPr>
                <w:ilvl w:val="0"/>
                <w:numId w:val="7"/>
              </w:numPr>
              <w:jc w:val="both"/>
              <w:rPr/>
            </w:pPr>
            <w:r>
              <w:rPr>
                <w:u w:val="single"/>
              </w:rPr>
              <w:t>Status</w:t>
            </w:r>
            <w:r>
              <w:rPr/>
              <w:t xml:space="preserve"> – Pre-filing we argued for allocation of FTRs to be phased out after RTO operational data was available.  Although the RTO West order did not address that issue, the Grid Florida order, authorized an allocation equivalent to that RTO West proposed.  The discussion has thus turned to the details of allocation and of auctions.</w:t>
            </w:r>
          </w:p>
          <w:p>
            <w:pPr>
              <w:pStyle w:val="Normal"/>
              <w:numPr>
                <w:ilvl w:val="0"/>
                <w:numId w:val="4"/>
              </w:numPr>
              <w:jc w:val="both"/>
              <w:rPr/>
            </w:pPr>
            <w:r>
              <w:rPr>
                <w:u w:val="single"/>
              </w:rPr>
              <w:t>Major Issues Pending</w:t>
            </w:r>
            <w:r>
              <w:rPr/>
              <w:t xml:space="preserve"> –  (1) Annual auction of FTRs not allocated, (2) Creating of a liquid secondary FTR market, (3) Expansion of the network to create new FTRs.  </w:t>
            </w:r>
          </w:p>
          <w:p>
            <w:pPr>
              <w:pStyle w:val="Normal"/>
              <w:numPr>
                <w:ilvl w:val="0"/>
                <w:numId w:val="7"/>
              </w:numPr>
              <w:jc w:val="both"/>
              <w:rPr>
                <w:b/>
                <w:bCs/>
              </w:rPr>
            </w:pPr>
            <w:r>
              <w:rPr>
                <w:u w:val="single"/>
              </w:rPr>
              <w:t>Strategy</w:t>
            </w:r>
            <w:r>
              <w:rPr/>
              <w:t xml:space="preserve"> – Working with coalition of marketer on a proposal to “prime the pump” on the secondary FTR market.  The key challenge is keeping public power in the discussion because of their political leverage on Bonneville.  An exception for small publics has been discussed but is opposed by some of the IOUs.   The primary auction model has second priority to the secondary market, since much of the system will wind up being over committed already. On system system expansion, the open season model for new long distance capacity has been advanced and the WGA Trans. Plan discussion is being used to reinforce need for a property right to drive system expansion.</w:t>
            </w:r>
          </w:p>
          <w:p>
            <w:pPr>
              <w:pStyle w:val="Normal"/>
              <w:ind w:start="720" w:end="0"/>
              <w:jc w:val="both"/>
              <w:rPr>
                <w:b/>
                <w:bCs/>
              </w:rPr>
            </w:pPr>
            <w:r>
              <w:rPr>
                <w:b/>
                <w:bCs/>
              </w:rPr>
            </w:r>
          </w:p>
          <w:p>
            <w:pPr>
              <w:pStyle w:val="Normal"/>
              <w:numPr>
                <w:ilvl w:val="0"/>
                <w:numId w:val="5"/>
              </w:numPr>
              <w:jc w:val="both"/>
              <w:rPr>
                <w:b/>
                <w:bCs/>
              </w:rPr>
            </w:pPr>
            <w:r>
              <w:rPr>
                <w:b/>
                <w:bCs/>
              </w:rPr>
              <w:t>Energy Market Operation</w:t>
            </w:r>
          </w:p>
          <w:p>
            <w:pPr>
              <w:pStyle w:val="Normal"/>
              <w:numPr>
                <w:ilvl w:val="0"/>
                <w:numId w:val="7"/>
              </w:numPr>
              <w:jc w:val="both"/>
              <w:rPr/>
            </w:pPr>
            <w:r>
              <w:rPr>
                <w:u w:val="single"/>
              </w:rPr>
              <w:t>Status</w:t>
            </w:r>
            <w:r>
              <w:rPr/>
              <w:t xml:space="preserve"> – Detailed discussion of “Balancing Market” has been on hold during the Congestion Management Debate.  A single control area with a single RTO wide energy market was agreed upon in Phase 1.  The effort to go back to multiple control areas under contract path congestion management was forestalled.</w:t>
            </w:r>
          </w:p>
          <w:p>
            <w:pPr>
              <w:pStyle w:val="Normal"/>
              <w:numPr>
                <w:ilvl w:val="0"/>
                <w:numId w:val="4"/>
              </w:numPr>
              <w:jc w:val="both"/>
              <w:rPr/>
            </w:pPr>
            <w:r>
              <w:rPr>
                <w:u w:val="single"/>
              </w:rPr>
              <w:t>Major Issues Pending</w:t>
            </w:r>
            <w:r>
              <w:rPr/>
              <w:t xml:space="preserve"> – The details of the redispatch and losses methods have yet to be developed.  California woes make “unbalanced” schedules very unpopular at present.</w:t>
            </w:r>
          </w:p>
          <w:p>
            <w:pPr>
              <w:pStyle w:val="Normal"/>
              <w:numPr>
                <w:ilvl w:val="0"/>
                <w:numId w:val="7"/>
              </w:numPr>
              <w:jc w:val="both"/>
              <w:rPr>
                <w:b/>
                <w:bCs/>
              </w:rPr>
            </w:pPr>
            <w:r>
              <w:rPr>
                <w:u w:val="single"/>
              </w:rPr>
              <w:t>Strategy</w:t>
            </w:r>
            <w:r>
              <w:rPr/>
              <w:t xml:space="preserve"> – Use the agreement on partially covered schedules, then need for secondary FTR market liquidity and the need for a system wide loss approach to advocate real time settlement of positions with penalties limited to period of resource insufficiency.  The RTO would use its system wide dispatch to calculate the zonal settlement prices.  This will be uphill sledding, since the utilities and the much of the marketing/IPP community wants to minimize the role of the RTO in the energy market.</w:t>
            </w:r>
          </w:p>
          <w:p>
            <w:pPr>
              <w:pStyle w:val="Normal"/>
              <w:ind w:hanging="720" w:start="720" w:end="0"/>
              <w:rPr>
                <w:b/>
                <w:bCs/>
              </w:rPr>
            </w:pPr>
            <w:r>
              <w:rPr>
                <w:b/>
                <w:bCs/>
              </w:rPr>
            </w:r>
          </w:p>
          <w:p>
            <w:pPr>
              <w:pStyle w:val="Heading1"/>
              <w:keepNext w:val="false"/>
              <w:ind w:hanging="0" w:start="0"/>
              <w:jc w:val="both"/>
              <w:rPr/>
            </w:pPr>
            <w:r>
              <w:rPr>
                <w:u w:val="single"/>
              </w:rPr>
              <w:t>Current Status</w:t>
            </w:r>
            <w:r>
              <w:rPr/>
              <w:t>:</w:t>
            </w:r>
          </w:p>
          <w:p>
            <w:pPr>
              <w:pStyle w:val="BodyTextIndent"/>
              <w:ind w:start="0" w:end="0"/>
              <w:jc w:val="both"/>
              <w:rPr>
                <w:rFonts w:ascii="Times New Roman" w:hAnsi="Times New Roman" w:cs="Times New Roman"/>
              </w:rPr>
            </w:pPr>
            <w:r>
              <w:rPr>
                <w:rFonts w:cs="Times New Roman" w:ascii="Times New Roman" w:hAnsi="Times New Roman"/>
              </w:rPr>
            </w:r>
          </w:p>
          <w:p>
            <w:pPr>
              <w:pStyle w:val="BodyTextIndent"/>
              <w:ind w:start="1440" w:end="0"/>
              <w:jc w:val="both"/>
              <w:rPr>
                <w:rFonts w:ascii="Times New Roman" w:hAnsi="Times New Roman" w:cs="Times New Roman"/>
              </w:rPr>
            </w:pPr>
            <w:r>
              <w:rPr>
                <w:rFonts w:cs="Times New Roman" w:ascii="Times New Roman" w:hAnsi="Times New Roman"/>
              </w:rPr>
              <w:t>FERC issued an order on April 26, 2001 in response to filings made by RTO West in October 2000.  The order approved RTO West governance with only minor changes but rejected request for liability limitation agreement.  The filing utilities are considering whether to appeal the liability portion of the Order.  A technical conference was held at FERC on the liability issues.  The utilities felt that FERC recognized the need to address the issue in more detail, so additional information will probably be provided to FERC on the nature of the liability concerns of the utilities regarding.</w:t>
            </w:r>
          </w:p>
          <w:p>
            <w:pPr>
              <w:pStyle w:val="BodyTextIndent"/>
              <w:ind w:start="1440" w:end="0"/>
              <w:jc w:val="both"/>
              <w:rPr>
                <w:rFonts w:ascii="Times New Roman" w:hAnsi="Times New Roman" w:cs="Times New Roman"/>
              </w:rPr>
            </w:pPr>
            <w:r>
              <w:rPr>
                <w:rFonts w:cs="Times New Roman" w:ascii="Times New Roman" w:hAnsi="Times New Roman"/>
              </w:rPr>
            </w:r>
          </w:p>
          <w:p>
            <w:pPr>
              <w:pStyle w:val="BodyTextIndent"/>
              <w:ind w:start="1440" w:end="0"/>
              <w:jc w:val="both"/>
              <w:rPr>
                <w:rFonts w:ascii="Times New Roman" w:hAnsi="Times New Roman" w:cs="Times New Roman"/>
              </w:rPr>
            </w:pPr>
            <w:r>
              <w:rPr>
                <w:rFonts w:cs="Times New Roman" w:ascii="Times New Roman" w:hAnsi="Times New Roman"/>
              </w:rPr>
              <w:t>The order did not require the immediate formation of an independent board prior to the Stage 2 filing, as a result, it is unlikely that the independent board will be seated until early 2002.  .</w:t>
            </w:r>
          </w:p>
          <w:p>
            <w:pPr>
              <w:pStyle w:val="BodyTextIndent"/>
              <w:ind w:start="1440" w:end="0"/>
              <w:jc w:val="both"/>
              <w:rPr>
                <w:rFonts w:ascii="Times New Roman" w:hAnsi="Times New Roman" w:cs="Times New Roman"/>
              </w:rPr>
            </w:pPr>
            <w:r>
              <w:rPr>
                <w:rFonts w:cs="Times New Roman" w:ascii="Times New Roman" w:hAnsi="Times New Roman"/>
              </w:rPr>
              <w:t>With the exception of Sierra/Nevada, the filing utilities had asked FERC for a declaration that the principles in the Transmission Operating Agreement (TOA) were acceptable.   The TOA is the basic implementing document, which grants RTO West the authority to operate an owner’s transmission facilities.  The order did not address TOA, indicating that it would be addressed in later orders</w:t>
            </w:r>
          </w:p>
          <w:p>
            <w:pPr>
              <w:pStyle w:val="BodyTextIndent"/>
              <w:ind w:start="1440" w:end="0"/>
              <w:jc w:val="both"/>
              <w:rPr>
                <w:rFonts w:ascii="Times New Roman" w:hAnsi="Times New Roman" w:cs="Times New Roman"/>
              </w:rPr>
            </w:pPr>
            <w:r>
              <w:rPr>
                <w:rFonts w:cs="Times New Roman" w:ascii="Times New Roman" w:hAnsi="Times New Roman"/>
              </w:rPr>
            </w:r>
          </w:p>
          <w:p>
            <w:pPr>
              <w:pStyle w:val="BodyTextIndent"/>
              <w:ind w:start="1440" w:end="0"/>
              <w:jc w:val="both"/>
              <w:rPr>
                <w:rFonts w:ascii="Times New Roman" w:hAnsi="Times New Roman" w:cs="Times New Roman"/>
              </w:rPr>
            </w:pPr>
            <w:r>
              <w:rPr>
                <w:rFonts w:cs="Times New Roman" w:ascii="Times New Roman" w:hAnsi="Times New Roman"/>
              </w:rPr>
              <w:t xml:space="preserve">The Stage 2 process is underway to define tariff details – congestion management, ancillary services, collection of fixed costs, etc. – and to finalize the terms of the TOA.  No filing date has been set for the Stage 2 filing.  Some are arguing for a slow schedule with a filing on December 4, 2001 when FERC required a report on West-Wide plans.  Others, including BPA, want an earlier filing.  In any event, September is the earliest time probable, given the amount of work to do done.  </w:t>
            </w:r>
          </w:p>
          <w:p>
            <w:pPr>
              <w:pStyle w:val="BodyTextIndent"/>
              <w:ind w:start="1440" w:end="0"/>
              <w:jc w:val="both"/>
              <w:rPr>
                <w:rFonts w:ascii="Times New Roman" w:hAnsi="Times New Roman" w:cs="Times New Roman"/>
              </w:rPr>
            </w:pPr>
            <w:r>
              <w:rPr>
                <w:rFonts w:cs="Times New Roman" w:ascii="Times New Roman" w:hAnsi="Times New Roman"/>
              </w:rPr>
            </w:r>
          </w:p>
          <w:p>
            <w:pPr>
              <w:pStyle w:val="BodyTextIndent"/>
              <w:ind w:start="1440" w:end="0"/>
              <w:jc w:val="both"/>
              <w:rPr>
                <w:rFonts w:ascii="Times New Roman" w:hAnsi="Times New Roman" w:cs="Times New Roman"/>
              </w:rPr>
            </w:pPr>
            <w:r>
              <w:rPr>
                <w:rFonts w:cs="Times New Roman" w:ascii="Times New Roman" w:hAnsi="Times New Roman"/>
              </w:rPr>
              <w:t>After several weeks of debate, the Filing Utilities finally decided to set aside the contract path model and pursue a variant of the model agreed upon during Stage 1.  In Stage 1, an agreement was reached on a flow-base, physical rights model.  The adopted variant allows a partially uncovered schedule, however the party retains financial responsibility for the cost of congestion on the uncovered portion of the schedule A recommendation is to the RRG (the stakeholder group) along these lines.  Work is not beginning to define the details of the model by mid-July, which will get the whole development back to the status it was in before the attempt to return the contract path derailed discussions.</w:t>
            </w:r>
          </w:p>
          <w:p>
            <w:pPr>
              <w:pStyle w:val="Normal"/>
              <w:jc w:val="both"/>
              <w:rPr>
                <w:rFonts w:ascii="Times New Roman" w:hAnsi="Times New Roman" w:cs="Times New Roman"/>
                <w:b/>
                <w:bCs/>
              </w:rPr>
            </w:pPr>
            <w:r>
              <w:rPr>
                <w:rFonts w:cs="Times New Roman"/>
                <w:b/>
                <w:bCs/>
              </w:rPr>
            </w:r>
          </w:p>
          <w:p>
            <w:pPr>
              <w:pStyle w:val="Heading1"/>
              <w:keepNext w:val="false"/>
              <w:ind w:hanging="0" w:start="0"/>
              <w:jc w:val="both"/>
              <w:rPr/>
            </w:pPr>
            <w:r>
              <w:rPr/>
              <w:t>Miscellaneous Information: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DAVE PERRINO</w:t>
            </w:r>
          </w:p>
          <w:p>
            <w:pPr>
              <w:pStyle w:val="Normal"/>
              <w:rPr/>
            </w:pPr>
            <w:r>
              <w:rPr/>
              <w:t>(415) 782-7801</w:t>
            </w:r>
          </w:p>
          <w:p>
            <w:pPr>
              <w:pStyle w:val="Normal"/>
              <w:rPr/>
            </w:pPr>
            <w:r>
              <w:rPr/>
              <w:t>(415) 794-8740 cell</w:t>
            </w:r>
          </w:p>
        </w:tc>
        <w:tc>
          <w:tcPr>
            <w:tcW w:w="86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DSTAR Board meeting June 8, 2001 Report</w:t>
            </w:r>
          </w:p>
          <w:p>
            <w:pPr>
              <w:pStyle w:val="Normal"/>
              <w:jc w:val="center"/>
              <w:rPr>
                <w:b/>
                <w:bCs/>
              </w:rPr>
            </w:pPr>
            <w:r>
              <w:rPr>
                <w:b/>
                <w:bCs/>
              </w:rPr>
            </w:r>
          </w:p>
          <w:p>
            <w:pPr>
              <w:pStyle w:val="Normal"/>
              <w:jc w:val="both"/>
              <w:rPr/>
            </w:pPr>
            <w:r>
              <w:rPr/>
              <w:t>Arnold Qunit (DSTAR lead attorney) provided a summary of the documents and process stating:</w:t>
            </w:r>
          </w:p>
          <w:p>
            <w:pPr>
              <w:pStyle w:val="Normal"/>
              <w:numPr>
                <w:ilvl w:val="0"/>
                <w:numId w:val="6"/>
              </w:numPr>
              <w:jc w:val="both"/>
              <w:rPr/>
            </w:pPr>
            <w:r>
              <w:rPr/>
              <w:t>DSTAR should make only an informational filing at this time to advise the FERC of the progress made to date.</w:t>
            </w:r>
          </w:p>
          <w:p>
            <w:pPr>
              <w:pStyle w:val="Normal"/>
              <w:numPr>
                <w:ilvl w:val="0"/>
                <w:numId w:val="6"/>
              </w:numPr>
              <w:jc w:val="both"/>
              <w:rPr/>
            </w:pPr>
            <w:r>
              <w:rPr/>
              <w:t>DSTAR will advise the FERC that there will be changes submitted relating to the governance.  DSTAR will be actively working to develop a governance to support a for-profit Transco</w:t>
            </w:r>
          </w:p>
          <w:p>
            <w:pPr>
              <w:pStyle w:val="Normal"/>
              <w:numPr>
                <w:ilvl w:val="0"/>
                <w:numId w:val="6"/>
              </w:numPr>
              <w:jc w:val="both"/>
              <w:rPr/>
            </w:pPr>
            <w:r>
              <w:rPr/>
              <w:t>DSTAR will not NOT be including the Transmission Control Agreement (TCA), Appendix P (Planning) or Appendix Q (Interconnection).  These documents will be included when DSTAR files their proposed governance.</w:t>
            </w:r>
          </w:p>
          <w:p>
            <w:pPr>
              <w:pStyle w:val="Normal"/>
              <w:jc w:val="both"/>
              <w:rPr/>
            </w:pPr>
            <w:r>
              <w:rPr/>
              <w:t xml:space="preserve">Mr. Quint pointed out that there are some differences of opinion relating to the documents that have not been resolved, but overall he felt that the documents to be filed where balanced and he recommended that the board vote in favor of submitting them. </w:t>
            </w:r>
          </w:p>
          <w:p>
            <w:pPr>
              <w:pStyle w:val="Normal"/>
              <w:jc w:val="both"/>
              <w:rPr/>
            </w:pPr>
            <w:r>
              <w:rPr/>
            </w:r>
          </w:p>
          <w:p>
            <w:pPr>
              <w:pStyle w:val="Normal"/>
              <w:jc w:val="both"/>
              <w:rPr/>
            </w:pPr>
            <w:r>
              <w:rPr/>
              <w:t>Prior to the vote on what to submit to the FERC, Jack King (DSTAR Board Chair) noted that the transmission providers have included a statement in the letter to FERC which accompanies the filing which states that the TO’s would work on the governance over the next 90-120 days (note schedule “creep”, prior to today the schedule was about 90 days).  Jack voiced concern over the lack of a work plan with discernable milestones.  Cary Deice of APS spoke on behalf of the TO’s, he stated that the TO’s are committed</w:t>
            </w:r>
            <w:r>
              <w:rPr>
                <w:rStyle w:val="FootnoteCharacters"/>
                <w:rStyle w:val="FootnoteReference"/>
              </w:rPr>
              <w:footnoteReference w:id="2"/>
            </w:r>
            <w:r>
              <w:rPr/>
              <w:t xml:space="preserve"> to getting the governance completed on-time and into FERC.  Cary committed to develop and provide to the board a formal work plan in about 2 weeks by which the board can monitor the progress of the TO’s in relation to the governance and meeting the 90-120 day deadline.</w:t>
            </w:r>
          </w:p>
          <w:p>
            <w:pPr>
              <w:pStyle w:val="Normal"/>
              <w:jc w:val="both"/>
              <w:rPr/>
            </w:pPr>
            <w:r>
              <w:rPr/>
            </w:r>
          </w:p>
          <w:p>
            <w:pPr>
              <w:pStyle w:val="Normal"/>
              <w:jc w:val="both"/>
              <w:rPr/>
            </w:pPr>
            <w:r>
              <w:rPr/>
              <w:t>Well, much as expected (see previous notes) the Board voted to submit the transmission providers Tariff during the week of June 11 as an Informational Filing citing that this was not an optimum solution but they felt it will get DSTAR started.  The letter accompanying the filing paints quite a rosy picture of how the documents being submitted have come into being.  Describing a collaborative process.  To be fair, the documents have retained some of the agreements worked out during the collaborative process, but there are problems, which I will describe below.</w:t>
            </w:r>
          </w:p>
          <w:p>
            <w:pPr>
              <w:pStyle w:val="Normal"/>
              <w:jc w:val="both"/>
              <w:rPr/>
            </w:pPr>
            <w:r>
              <w:rPr/>
              <w:t>Notable notes and Observations:</w:t>
            </w:r>
          </w:p>
          <w:p>
            <w:pPr>
              <w:pStyle w:val="Normal"/>
              <w:jc w:val="both"/>
              <w:rPr/>
            </w:pPr>
            <w:r>
              <w:rPr/>
            </w:r>
          </w:p>
          <w:p>
            <w:pPr>
              <w:pStyle w:val="Normal"/>
              <w:jc w:val="both"/>
              <w:rPr/>
            </w:pPr>
            <w:r>
              <w:rPr/>
              <w:t>Funding:</w:t>
            </w:r>
          </w:p>
          <w:p>
            <w:pPr>
              <w:pStyle w:val="Normal"/>
              <w:jc w:val="both"/>
              <w:rPr/>
            </w:pPr>
            <w:r>
              <w:rPr/>
            </w:r>
          </w:p>
          <w:p>
            <w:pPr>
              <w:pStyle w:val="Normal"/>
              <w:jc w:val="both"/>
              <w:rPr/>
            </w:pPr>
            <w:r>
              <w:rPr/>
              <w:t>FYI, to date over the past 4 years the TO’s have spent about $8M to get the DSTAR informational filing to the point where it is today.</w:t>
            </w:r>
          </w:p>
          <w:p>
            <w:pPr>
              <w:pStyle w:val="Normal"/>
              <w:jc w:val="both"/>
              <w:rPr/>
            </w:pPr>
            <w:r>
              <w:rPr/>
            </w:r>
          </w:p>
          <w:p>
            <w:pPr>
              <w:pStyle w:val="Normal"/>
              <w:jc w:val="both"/>
              <w:rPr/>
            </w:pPr>
            <w:r>
              <w:rPr/>
              <w:t>In part of the meeting, the subject of continued funding came up because DSTAR is now out of funds.  Mike Raezer described a budget for the next 4 months which would total approximately $730K.  The budget came under a significant amount of public debate among the TO’s at the meeting, with APS, TEP and PNM clearly in favor of passing the budget and moving on.  SRP, PS Colorado and AEPCO where clearly NOT in favor of passing the budget and all present representatives stated that they had NOT made a decision to continue funding the DSTAR effort and that they would have to return home to discuss this issue with their Senior Management.  The budget however was passed with the understanding that if the non-committing TO’s came up short the remaining parties would make up the balance.</w:t>
            </w:r>
          </w:p>
          <w:p>
            <w:pPr>
              <w:pStyle w:val="Normal"/>
              <w:jc w:val="both"/>
              <w:rPr/>
            </w:pPr>
            <w:r>
              <w:rPr/>
            </w:r>
          </w:p>
          <w:p>
            <w:pPr>
              <w:pStyle w:val="Normal"/>
              <w:jc w:val="both"/>
              <w:rPr/>
            </w:pPr>
            <w:r>
              <w:rPr/>
              <w:t>I include the above budget discussion in the report because I think it is significant.  On one hand they group is telling the board that they are committed in completing the governance and filing within 120 days, while on the other hand, about half of the group doesn’t know if they want to even fund DSTAR for the next 120 days!  This is a clear indication that completing the governance will more than likely take 120 days.  The plan to develop the Transco governance almost seems to be another stalling tactic to further delay development and start-up of DSTAR.  I believe this a serious cause for concern and Enron needs to address the foot-dragging of the entities in the WSCC in developing RTOs with the FERC.</w:t>
            </w:r>
          </w:p>
          <w:p>
            <w:pPr>
              <w:pStyle w:val="Normal"/>
              <w:jc w:val="both"/>
              <w:rPr/>
            </w:pPr>
            <w:r>
              <w:rPr/>
            </w:r>
          </w:p>
          <w:p>
            <w:pPr>
              <w:pStyle w:val="Normal"/>
              <w:jc w:val="both"/>
              <w:rPr/>
            </w:pPr>
            <w:r>
              <w:rPr/>
              <w:t>In speaking to several people after the meeting closed, there were similar observations made by them and that the drafting of the governance is far from a “done-deal” and it could easily take more than 120 days.  Citing there are serious issues relating to the governance of a for-profit Transco between not only the IOU’s and the Public’s but among the IOU’s themselves.</w:t>
            </w:r>
          </w:p>
          <w:p>
            <w:pPr>
              <w:pStyle w:val="Normal"/>
              <w:jc w:val="both"/>
              <w:rPr/>
            </w:pPr>
            <w:r>
              <w:rPr/>
            </w:r>
          </w:p>
          <w:p>
            <w:pPr>
              <w:pStyle w:val="Normal"/>
              <w:jc w:val="both"/>
              <w:rPr/>
            </w:pPr>
            <w:r>
              <w:rPr/>
              <w:t xml:space="preserve">Implementation Schedule </w:t>
            </w:r>
          </w:p>
          <w:p>
            <w:pPr>
              <w:pStyle w:val="Normal"/>
              <w:jc w:val="both"/>
              <w:rPr/>
            </w:pPr>
            <w:r>
              <w:rPr/>
            </w:r>
          </w:p>
          <w:p>
            <w:pPr>
              <w:pStyle w:val="Normal"/>
              <w:jc w:val="both"/>
              <w:rPr/>
            </w:pPr>
            <w:r>
              <w:rPr/>
              <w:t>FYI, in the cover letter accompanying the information filing the TO’s note to the FERC that they would expect DSTAR to be fully operation by: Late Q4, 2003.  The bottom line here is, it is expected to take at least 21 months from FERC approval for systems procurement and implementation to occur.  Their concern here is, there are a limited number of vendors and DSTAR will be in competition to secure the services of one of them (I see delay here as well).  The good news here is, the DSTAR Project Manager will continue to work with consultants on drafting the DSTAR RFP document.  The bad news is, the information filing is submitted during the week of June 11, 2001, the proposed Transco governance is submitted (being optimistic) by mid October, FERC gives a conditional approval after the first of the year say mid January 2002, we may see an operational Transco/RTO in DSTAR January 2004.</w:t>
            </w:r>
          </w:p>
          <w:p>
            <w:pPr>
              <w:pStyle w:val="Normal"/>
              <w:jc w:val="both"/>
              <w:rPr/>
            </w:pPr>
            <w:r>
              <w:rPr/>
            </w:r>
          </w:p>
          <w:p>
            <w:pPr>
              <w:pStyle w:val="Normal"/>
              <w:jc w:val="both"/>
              <w:rPr/>
            </w:pPr>
            <w:r>
              <w:rPr/>
              <w:t>From an Enron perspective what are the key concerns with DSTAR:</w:t>
            </w:r>
          </w:p>
          <w:p>
            <w:pPr>
              <w:pStyle w:val="Normal"/>
              <w:numPr>
                <w:ilvl w:val="0"/>
                <w:numId w:val="2"/>
              </w:numPr>
              <w:jc w:val="both"/>
              <w:rPr/>
            </w:pPr>
            <w:r>
              <w:rPr/>
              <w:t>Delay</w:t>
            </w:r>
          </w:p>
          <w:p>
            <w:pPr>
              <w:pStyle w:val="Normal"/>
              <w:numPr>
                <w:ilvl w:val="0"/>
                <w:numId w:val="2"/>
              </w:numPr>
              <w:jc w:val="both"/>
              <w:rPr/>
            </w:pPr>
            <w:r>
              <w:rPr/>
              <w:t>Congestion Management – FTR Matrix design</w:t>
            </w:r>
          </w:p>
          <w:p>
            <w:pPr>
              <w:pStyle w:val="Normal"/>
              <w:numPr>
                <w:ilvl w:val="0"/>
                <w:numId w:val="2"/>
              </w:numPr>
              <w:jc w:val="both"/>
              <w:rPr/>
            </w:pPr>
            <w:r>
              <w:rPr/>
              <w:t>Scheduling Penalties - Enforcement</w:t>
            </w:r>
          </w:p>
          <w:p>
            <w:pPr>
              <w:pStyle w:val="Normal"/>
              <w:numPr>
                <w:ilvl w:val="0"/>
                <w:numId w:val="2"/>
              </w:numPr>
              <w:jc w:val="both"/>
              <w:rPr/>
            </w:pPr>
            <w:r>
              <w:rPr/>
              <w:t>Interconnection Agreements – Discontinuity between TOs within DSTAR</w:t>
            </w:r>
          </w:p>
          <w:p>
            <w:pPr>
              <w:pStyle w:val="Normal"/>
              <w:jc w:val="both"/>
              <w:rPr/>
            </w:pPr>
            <w:r>
              <w:rPr/>
            </w:r>
          </w:p>
          <w:p>
            <w:pPr>
              <w:pStyle w:val="Normal"/>
              <w:jc w:val="both"/>
              <w:rPr/>
            </w:pPr>
            <w:r>
              <w:rPr/>
              <w:t>A couple other observations.</w:t>
            </w:r>
          </w:p>
          <w:p>
            <w:pPr>
              <w:pStyle w:val="Normal"/>
              <w:jc w:val="both"/>
              <w:rPr/>
            </w:pPr>
            <w:r>
              <w:rPr/>
            </w:r>
          </w:p>
          <w:p>
            <w:pPr>
              <w:pStyle w:val="Normal"/>
              <w:jc w:val="both"/>
              <w:rPr/>
            </w:pPr>
            <w:r>
              <w:rPr/>
              <w:t>There was a great deal of emphasis placed on the fact that the filing will only be an informational filing and that the stakeholders should consider not filing any comments because the FERC will not act on those comments, because this is only informational.  It seemed that they spent so much time saying people shouldn’t file comments that it seems prudent that we do file our concerns.  I am looking for input from Enron’s experienced staff in these types of filings as to whether or not we should file any comments.</w:t>
            </w:r>
          </w:p>
          <w:p>
            <w:pPr>
              <w:pStyle w:val="Normal"/>
              <w:jc w:val="both"/>
              <w:rPr/>
            </w:pPr>
            <w:r>
              <w:rPr/>
            </w:r>
          </w:p>
          <w:p>
            <w:pPr>
              <w:pStyle w:val="Normal"/>
              <w:jc w:val="both"/>
              <w:rPr/>
            </w:pPr>
            <w:r>
              <w:rPr/>
              <w:t>There was a significant amount of discussion about a P.R. (DSTAR awareness) campaign which is estimated to cost anywhere from $75-150K.  The TOs are planning on promoting their Transco governance model to their local PUCs and the FERC.  There is a surprising amount of “PR envy” over the perceptions of the FERC and others about how RTO West is regarded vs DSTAR.  In fact one of the board members (Ken …) noted that unless DSTAR got their acts together, they may well be ordered to join RTO West.  Based on my observations of this particular board member, this is a very thinly veiled threat.  Ken has made very powerful ststements in previous board meetings, but backed down significantly once Jack Davis, APS CEO, entered the meeting.  It would seem that if the members of DSTAR expended the same sense of urgency for actually finalizing the plans for their RTO that they seem to feel for the PR campaign, this RTO would have been up and operation on Dec 15, 2001 as FERC had originally ruled in Order 2000.</w:t>
            </w:r>
          </w:p>
          <w:p>
            <w:pPr>
              <w:pStyle w:val="Normal"/>
              <w:jc w:val="both"/>
              <w:rPr/>
            </w:pPr>
            <w:r>
              <w:rPr/>
            </w:r>
          </w:p>
          <w:p>
            <w:pPr>
              <w:pStyle w:val="Normal"/>
              <w:jc w:val="both"/>
              <w:rPr/>
            </w:pPr>
            <w:r>
              <w:rPr/>
              <w:t>Miscellaneous:</w:t>
            </w:r>
          </w:p>
          <w:p>
            <w:pPr>
              <w:pStyle w:val="Normal"/>
              <w:jc w:val="both"/>
              <w:rPr/>
            </w:pPr>
            <w:r>
              <w:rPr/>
            </w:r>
          </w:p>
          <w:p>
            <w:pPr>
              <w:pStyle w:val="Normal"/>
              <w:jc w:val="both"/>
              <w:rPr/>
            </w:pPr>
            <w:r>
              <w:rPr/>
              <w:t>FERC Technical Conference relating to inter-RTO Seams:  Mike Raezer will be part of a collaborative WSCC panel, which will address Seams issues in the West.  Assuming FERC accepts the WSCC’s panel for presentation, Mike will represent DSTAR, Wally Gibson of CREPC will represent the WMIC Seams Task Force (which Steve Walton is a member), Frank Afranji will represent the WMIC, Dean Perry will represent RTO West and there is a spot for a CAISO representative, however, no one has been yet named from the ISO.</w:t>
            </w:r>
          </w:p>
          <w:p>
            <w:pPr>
              <w:pStyle w:val="Normal"/>
              <w:jc w:val="both"/>
              <w:rPr/>
            </w:pPr>
            <w:r>
              <w:rPr/>
            </w:r>
          </w:p>
          <w:p>
            <w:pPr>
              <w:pStyle w:val="Normal"/>
              <w:jc w:val="center"/>
              <w:rPr>
                <w:b/>
                <w:bCs/>
                <w:caps/>
                <w:u w:val="single"/>
              </w:rPr>
            </w:pPr>
            <w:r>
              <w:rPr>
                <w:b/>
                <w:bCs/>
                <w:caps/>
                <w:u w:val="single"/>
              </w:rPr>
              <w:t>DStar Status:</w:t>
            </w:r>
          </w:p>
          <w:p>
            <w:pPr>
              <w:pStyle w:val="Normal"/>
              <w:jc w:val="both"/>
              <w:rPr>
                <w:b/>
                <w:bCs/>
                <w:caps/>
                <w:u w:val="single"/>
              </w:rPr>
            </w:pPr>
            <w:r>
              <w:rPr>
                <w:b/>
                <w:bCs/>
                <w:caps/>
                <w:u w:val="single"/>
              </w:rPr>
            </w:r>
          </w:p>
          <w:p>
            <w:pPr>
              <w:pStyle w:val="Footer"/>
              <w:tabs>
                <w:tab w:val="clear" w:pos="4320"/>
                <w:tab w:val="clear" w:pos="8640"/>
              </w:tabs>
              <w:rPr>
                <w:b/>
                <w:bCs/>
                <w:u w:val="single"/>
              </w:rPr>
            </w:pPr>
            <w:r>
              <w:rPr>
                <w:b/>
                <w:bCs/>
                <w:u w:val="single"/>
              </w:rPr>
              <w:t>Informational filing with FERC by Jun 15</w:t>
            </w:r>
          </w:p>
          <w:p>
            <w:pPr>
              <w:pStyle w:val="Normal"/>
              <w:rPr/>
            </w:pPr>
            <w:r>
              <w:rPr/>
              <w:t xml:space="preserve">  </w:t>
            </w:r>
            <w:r>
              <w:rPr/>
              <w:t>More of a PR effort</w:t>
            </w:r>
          </w:p>
          <w:p>
            <w:pPr>
              <w:pStyle w:val="Normal"/>
              <w:rPr/>
            </w:pPr>
            <w:r>
              <w:rPr/>
              <w:t xml:space="preserve">  </w:t>
            </w:r>
            <w:r>
              <w:rPr/>
              <w:t>Danger of longer delays</w:t>
            </w:r>
          </w:p>
          <w:p>
            <w:pPr>
              <w:pStyle w:val="Normal"/>
              <w:rPr/>
            </w:pPr>
            <w:r>
              <w:rPr/>
              <w:t xml:space="preserve">  </w:t>
            </w:r>
            <w:r>
              <w:rPr/>
              <w:t xml:space="preserve">Caveat of new Transco governance </w:t>
            </w:r>
          </w:p>
          <w:p>
            <w:pPr>
              <w:pStyle w:val="Heading2"/>
              <w:ind w:hanging="0" w:start="0"/>
              <w:rPr/>
            </w:pPr>
            <w:r>
              <w:rPr/>
              <w:t>Key Issues</w:t>
            </w:r>
          </w:p>
          <w:p>
            <w:pPr>
              <w:pStyle w:val="Normal"/>
              <w:rPr/>
            </w:pPr>
            <w:r>
              <w:rPr/>
              <w:t xml:space="preserve">  </w:t>
            </w:r>
            <w:r>
              <w:rPr/>
              <w:t>Delay – Questioning TOs commitment</w:t>
            </w:r>
          </w:p>
          <w:p>
            <w:pPr>
              <w:pStyle w:val="Normal"/>
              <w:rPr/>
            </w:pPr>
            <w:r>
              <w:rPr/>
              <w:t xml:space="preserve">  </w:t>
            </w:r>
            <w:r>
              <w:rPr/>
              <w:t>FDF Matrix design – Congestion Management</w:t>
            </w:r>
          </w:p>
          <w:p>
            <w:pPr>
              <w:pStyle w:val="Normal"/>
              <w:rPr/>
            </w:pPr>
            <w:r>
              <w:rPr/>
              <w:t xml:space="preserve">  </w:t>
            </w:r>
            <w:r>
              <w:rPr/>
              <w:t>Scheduling Penalties – Scaled under/over scheduling penalties</w:t>
            </w:r>
          </w:p>
          <w:p>
            <w:pPr>
              <w:pStyle w:val="Normal"/>
              <w:rPr/>
            </w:pPr>
            <w:r>
              <w:rPr/>
              <w:t xml:space="preserve">  </w:t>
            </w:r>
            <w:r>
              <w:rPr/>
              <w:t xml:space="preserve">Interconnection Agreement – Discontinuity between TOs within DSTAR </w:t>
            </w:r>
          </w:p>
          <w:p>
            <w:pPr>
              <w:pStyle w:val="Heading2"/>
              <w:ind w:hanging="0" w:start="0"/>
              <w:rPr/>
            </w:pPr>
            <w:r>
              <w:rPr/>
              <w:t>Strategy</w:t>
            </w:r>
          </w:p>
          <w:p>
            <w:pPr>
              <w:pStyle w:val="Normal"/>
              <w:rPr/>
            </w:pPr>
            <w:r>
              <w:rPr/>
              <w:t xml:space="preserve">  </w:t>
            </w:r>
            <w:r>
              <w:rPr/>
              <w:t>Voice concern of potential slow-down in general in WSCC with FERC, with particular emphasis on DSTAR</w:t>
            </w:r>
          </w:p>
          <w:p>
            <w:pPr>
              <w:pStyle w:val="Normal"/>
              <w:rPr/>
            </w:pPr>
            <w:r>
              <w:rPr/>
              <w:t xml:space="preserve">  </w:t>
            </w:r>
            <w:r>
              <w:rPr/>
              <w:t>Consider filing comments (jointly) on informational filing</w:t>
            </w:r>
          </w:p>
          <w:p>
            <w:pPr>
              <w:pStyle w:val="Normal"/>
              <w:rPr/>
            </w:pPr>
            <w:r>
              <w:rPr/>
              <w:t xml:space="preserve">  </w:t>
            </w:r>
            <w:r>
              <w:rPr/>
              <w:t>Remain engaged in open processes</w:t>
            </w:r>
          </w:p>
          <w:p>
            <w:pPr>
              <w:pStyle w:val="Normal"/>
              <w:rPr>
                <w:rFonts w:ascii="Arial Unicode MS" w:hAnsi="Arial Unicode MS" w:cs="Arial Unicode MS"/>
                <w:vanish/>
                <w:color w:val="000000"/>
              </w:rPr>
            </w:pPr>
            <w:r>
              <w:rPr>
                <w:rFonts w:cs="Arial Unicode MS" w:ascii="Arial Unicode MS" w:hAnsi="Arial Unicode MS"/>
                <w:vanish/>
                <w:color w:val="000000"/>
              </w:rPr>
              <w:t>_____________________________________________________________________</w:t>
            </w:r>
          </w:p>
          <w:p>
            <w:pPr>
              <w:pStyle w:val="Normal"/>
              <w:jc w:val="both"/>
              <w:rPr>
                <w:rFonts w:ascii="Arial Unicode MS" w:hAnsi="Arial Unicode MS" w:cs="Arial Unicode MS"/>
                <w:vanish/>
                <w:color w:val="000000"/>
              </w:rPr>
            </w:pPr>
            <w:r>
              <w:rPr>
                <w:rFonts w:cs="Arial Unicode MS" w:ascii="Arial Unicode MS" w:hAnsi="Arial Unicode MS"/>
                <w:vanish/>
                <w:color w:val="000000"/>
              </w:rPr>
            </w:r>
          </w:p>
          <w:p>
            <w:pPr>
              <w:pStyle w:val="Normal"/>
              <w:numPr>
                <w:ilvl w:val="0"/>
                <w:numId w:val="8"/>
              </w:numPr>
              <w:autoSpaceDE w:val="false"/>
              <w:ind w:hanging="540" w:start="540" w:end="0"/>
              <w:rPr>
                <w:color w:val="000000"/>
                <w:szCs w:val="40"/>
              </w:rPr>
            </w:pPr>
            <w:r>
              <w:rPr>
                <w:color w:val="000000"/>
                <w:szCs w:val="40"/>
              </w:rPr>
              <w:t>Informational filing with FERC by Jun 15</w:t>
            </w:r>
          </w:p>
          <w:p>
            <w:pPr>
              <w:pStyle w:val="Normal"/>
              <w:numPr>
                <w:ilvl w:val="0"/>
                <w:numId w:val="9"/>
              </w:numPr>
              <w:autoSpaceDE w:val="false"/>
              <w:ind w:hanging="450" w:start="1170" w:end="0"/>
              <w:rPr>
                <w:color w:val="000000"/>
                <w:szCs w:val="36"/>
              </w:rPr>
            </w:pPr>
            <w:r>
              <w:rPr>
                <w:color w:val="000000"/>
                <w:szCs w:val="36"/>
              </w:rPr>
              <w:t>More of a PR effort</w:t>
            </w:r>
          </w:p>
          <w:p>
            <w:pPr>
              <w:pStyle w:val="Normal"/>
              <w:numPr>
                <w:ilvl w:val="0"/>
                <w:numId w:val="9"/>
              </w:numPr>
              <w:autoSpaceDE w:val="false"/>
              <w:ind w:hanging="450" w:start="1170" w:end="0"/>
              <w:rPr>
                <w:color w:val="000000"/>
                <w:szCs w:val="36"/>
              </w:rPr>
            </w:pPr>
            <w:r>
              <w:rPr>
                <w:color w:val="000000"/>
                <w:szCs w:val="36"/>
              </w:rPr>
              <w:t>Danger of longer delays</w:t>
            </w:r>
          </w:p>
          <w:p>
            <w:pPr>
              <w:pStyle w:val="Normal"/>
              <w:numPr>
                <w:ilvl w:val="0"/>
                <w:numId w:val="9"/>
              </w:numPr>
              <w:autoSpaceDE w:val="false"/>
              <w:ind w:hanging="450" w:start="1170" w:end="0"/>
              <w:rPr>
                <w:color w:val="000000"/>
                <w:szCs w:val="36"/>
              </w:rPr>
            </w:pPr>
            <w:r>
              <w:rPr>
                <w:color w:val="000000"/>
                <w:szCs w:val="36"/>
              </w:rPr>
              <w:t xml:space="preserve">Caveat of new Transco governance </w:t>
            </w:r>
          </w:p>
          <w:p>
            <w:pPr>
              <w:pStyle w:val="Normal"/>
              <w:numPr>
                <w:ilvl w:val="0"/>
                <w:numId w:val="8"/>
              </w:numPr>
              <w:autoSpaceDE w:val="false"/>
              <w:ind w:hanging="540" w:start="540" w:end="0"/>
              <w:rPr>
                <w:color w:val="000000"/>
                <w:szCs w:val="40"/>
              </w:rPr>
            </w:pPr>
            <w:r>
              <w:rPr>
                <w:color w:val="000000"/>
                <w:szCs w:val="40"/>
              </w:rPr>
              <w:t>Key Issues</w:t>
            </w:r>
          </w:p>
          <w:p>
            <w:pPr>
              <w:pStyle w:val="Normal"/>
              <w:numPr>
                <w:ilvl w:val="0"/>
                <w:numId w:val="9"/>
              </w:numPr>
              <w:autoSpaceDE w:val="false"/>
              <w:ind w:hanging="450" w:start="1170" w:end="0"/>
              <w:rPr>
                <w:color w:val="000000"/>
                <w:szCs w:val="36"/>
              </w:rPr>
            </w:pPr>
            <w:r>
              <w:rPr>
                <w:color w:val="000000"/>
                <w:szCs w:val="36"/>
              </w:rPr>
              <w:t>Delay – Questioning TOs commitment</w:t>
            </w:r>
          </w:p>
          <w:p>
            <w:pPr>
              <w:pStyle w:val="Normal"/>
              <w:numPr>
                <w:ilvl w:val="0"/>
                <w:numId w:val="9"/>
              </w:numPr>
              <w:autoSpaceDE w:val="false"/>
              <w:ind w:hanging="450" w:start="1170" w:end="0"/>
              <w:rPr>
                <w:color w:val="000000"/>
                <w:szCs w:val="36"/>
              </w:rPr>
            </w:pPr>
            <w:r>
              <w:rPr>
                <w:color w:val="000000"/>
                <w:szCs w:val="36"/>
              </w:rPr>
              <w:t>FDF Matrix design – Congestion Management</w:t>
            </w:r>
          </w:p>
          <w:p>
            <w:pPr>
              <w:pStyle w:val="Normal"/>
              <w:numPr>
                <w:ilvl w:val="0"/>
                <w:numId w:val="9"/>
              </w:numPr>
              <w:autoSpaceDE w:val="false"/>
              <w:ind w:hanging="450" w:start="1170" w:end="0"/>
              <w:rPr>
                <w:color w:val="000000"/>
                <w:szCs w:val="36"/>
              </w:rPr>
            </w:pPr>
            <w:r>
              <w:rPr>
                <w:color w:val="000000"/>
                <w:szCs w:val="36"/>
              </w:rPr>
              <w:t>Scheduling Penalties – Scaled under/over scheduling penalties</w:t>
            </w:r>
          </w:p>
          <w:p>
            <w:pPr>
              <w:pStyle w:val="Normal"/>
              <w:numPr>
                <w:ilvl w:val="0"/>
                <w:numId w:val="9"/>
              </w:numPr>
              <w:autoSpaceDE w:val="false"/>
              <w:ind w:hanging="450" w:start="1170" w:end="0"/>
              <w:rPr>
                <w:color w:val="000000"/>
                <w:szCs w:val="36"/>
              </w:rPr>
            </w:pPr>
            <w:r>
              <w:rPr>
                <w:color w:val="000000"/>
                <w:szCs w:val="36"/>
              </w:rPr>
              <w:t xml:space="preserve">Interconnection Agreement – Discontinuity between TOs within DSTAR </w:t>
            </w:r>
          </w:p>
          <w:p>
            <w:pPr>
              <w:pStyle w:val="Normal"/>
              <w:numPr>
                <w:ilvl w:val="0"/>
                <w:numId w:val="8"/>
              </w:numPr>
              <w:autoSpaceDE w:val="false"/>
              <w:ind w:hanging="540" w:start="540" w:end="0"/>
              <w:rPr>
                <w:color w:val="000000"/>
                <w:szCs w:val="40"/>
              </w:rPr>
            </w:pPr>
            <w:r>
              <w:rPr>
                <w:color w:val="000000"/>
                <w:szCs w:val="40"/>
              </w:rPr>
              <w:t>Strategy</w:t>
            </w:r>
          </w:p>
          <w:p>
            <w:pPr>
              <w:pStyle w:val="Normal"/>
              <w:numPr>
                <w:ilvl w:val="0"/>
                <w:numId w:val="9"/>
              </w:numPr>
              <w:autoSpaceDE w:val="false"/>
              <w:ind w:hanging="450" w:start="1170" w:end="0"/>
              <w:rPr>
                <w:color w:val="000000"/>
                <w:szCs w:val="36"/>
              </w:rPr>
            </w:pPr>
            <w:r>
              <w:rPr>
                <w:color w:val="000000"/>
                <w:szCs w:val="36"/>
              </w:rPr>
              <w:t>Voice concern of potential slow-down in general in WSCC with FERC, with particular emphasis on DSTAR</w:t>
            </w:r>
          </w:p>
          <w:p>
            <w:pPr>
              <w:pStyle w:val="Normal"/>
              <w:numPr>
                <w:ilvl w:val="0"/>
                <w:numId w:val="9"/>
              </w:numPr>
              <w:autoSpaceDE w:val="false"/>
              <w:ind w:hanging="450" w:start="1170" w:end="0"/>
              <w:rPr>
                <w:color w:val="000000"/>
                <w:szCs w:val="36"/>
              </w:rPr>
            </w:pPr>
            <w:r>
              <w:rPr>
                <w:color w:val="000000"/>
                <w:szCs w:val="36"/>
              </w:rPr>
              <w:t>Consider filing comments (jointly) on informational filing</w:t>
            </w:r>
          </w:p>
          <w:p>
            <w:pPr>
              <w:pStyle w:val="Normal"/>
              <w:numPr>
                <w:ilvl w:val="0"/>
                <w:numId w:val="9"/>
              </w:numPr>
              <w:autoSpaceDE w:val="false"/>
              <w:ind w:hanging="450" w:start="1170" w:end="0"/>
              <w:rPr/>
            </w:pPr>
            <w:r>
              <w:rPr>
                <w:color w:val="000000"/>
                <w:szCs w:val="36"/>
              </w:rPr>
              <w:t>Remain engaged in open processes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Heading5"/>
              <w:keepNext w:val="false"/>
              <w:snapToGrid w:val="false"/>
              <w:ind w:hanging="0" w:start="0"/>
              <w:jc w:val="both"/>
              <w:rPr>
                <w:b/>
                <w:bCs/>
              </w:rPr>
            </w:pPr>
            <w:r>
              <w:rPr>
                <w:b/>
                <w:bCs/>
              </w:rPr>
            </w:r>
          </w:p>
        </w:tc>
        <w:tc>
          <w:tcPr>
            <w:tcW w:w="8640" w:type="dxa"/>
            <w:tcBorders>
              <w:top w:val="single" w:sz="4" w:space="0" w:color="000000"/>
              <w:start w:val="single" w:sz="4" w:space="0" w:color="000000"/>
              <w:bottom w:val="single" w:sz="4" w:space="0" w:color="000000"/>
              <w:end w:val="single" w:sz="4" w:space="0" w:color="000000"/>
            </w:tcBorders>
          </w:tcPr>
          <w:p>
            <w:pPr>
              <w:pStyle w:val="Heading8"/>
              <w:keepLines w:val="false"/>
              <w:ind w:hanging="0" w:start="0"/>
              <w:rPr/>
            </w:pPr>
            <w:r>
              <w:rPr/>
              <w:t>RTO West -- Six Month Plan</w:t>
            </w:r>
          </w:p>
          <w:p>
            <w:pPr>
              <w:pStyle w:val="Normal"/>
              <w:keepLines/>
              <w:autoSpaceDE w:val="false"/>
              <w:spacing w:lineRule="atLeast" w:line="240"/>
              <w:jc w:val="both"/>
              <w:rPr>
                <w:color w:val="000000"/>
                <w:szCs w:val="20"/>
                <w:u w:val="single"/>
              </w:rPr>
            </w:pPr>
            <w:r>
              <w:rPr>
                <w:color w:val="000000"/>
                <w:szCs w:val="20"/>
                <w:u w:val="single"/>
              </w:rPr>
            </w:r>
          </w:p>
          <w:p>
            <w:pPr>
              <w:pStyle w:val="Normal"/>
              <w:keepLines/>
              <w:autoSpaceDE w:val="false"/>
              <w:spacing w:lineRule="atLeast" w:line="240"/>
              <w:ind w:start="360" w:end="0"/>
              <w:jc w:val="both"/>
              <w:rPr>
                <w:b/>
                <w:bCs/>
                <w:color w:val="000000"/>
                <w:szCs w:val="20"/>
              </w:rPr>
            </w:pPr>
            <w:r>
              <w:rPr>
                <w:b/>
                <w:bCs/>
                <w:color w:val="000000"/>
                <w:szCs w:val="20"/>
              </w:rPr>
              <w:t>Expectation:</w:t>
            </w:r>
          </w:p>
          <w:p>
            <w:pPr>
              <w:pStyle w:val="Normal"/>
              <w:keepLines/>
              <w:autoSpaceDE w:val="false"/>
              <w:spacing w:lineRule="atLeast" w:line="240"/>
              <w:ind w:start="720" w:end="0"/>
              <w:jc w:val="both"/>
              <w:rPr>
                <w:color w:val="000000"/>
                <w:szCs w:val="20"/>
              </w:rPr>
            </w:pPr>
            <w:r>
              <w:rPr>
                <w:color w:val="000000"/>
                <w:szCs w:val="20"/>
              </w:rPr>
              <w:t>An information filing likely be made in August.  It will be more of a status report on work to date.  The target is to make a full filing in December when the Commission has required a report on efforts to create an West-Wide RTO.  The facilitators are pushing for this to include the tariff and completed Transmission Operating Agreement, however, given their performance of parties in the collaborative meetings this spring and summer, there is a better than even chance that the December filing will be incomplete.  Commission's West-Wide proposal could result in simply restarting all the discussions in an even more dis-functional environment that exists today.</w:t>
            </w:r>
          </w:p>
          <w:p>
            <w:pPr>
              <w:pStyle w:val="Normal"/>
              <w:keepLines/>
              <w:autoSpaceDE w:val="false"/>
              <w:spacing w:lineRule="atLeast" w:line="240"/>
              <w:ind w:start="720" w:end="0"/>
              <w:jc w:val="both"/>
              <w:rPr>
                <w:color w:val="000000"/>
                <w:szCs w:val="20"/>
              </w:rPr>
            </w:pPr>
            <w:r>
              <w:rPr>
                <w:color w:val="000000"/>
                <w:szCs w:val="20"/>
              </w:rPr>
            </w:r>
          </w:p>
          <w:p>
            <w:pPr>
              <w:pStyle w:val="Normal"/>
              <w:keepLines/>
              <w:autoSpaceDE w:val="false"/>
              <w:spacing w:lineRule="atLeast" w:line="240"/>
              <w:ind w:start="360" w:end="0"/>
              <w:jc w:val="both"/>
              <w:rPr>
                <w:b/>
                <w:bCs/>
                <w:color w:val="000000"/>
                <w:szCs w:val="20"/>
              </w:rPr>
            </w:pPr>
            <w:r>
              <w:rPr>
                <w:b/>
                <w:bCs/>
                <w:color w:val="000000"/>
                <w:szCs w:val="20"/>
              </w:rPr>
              <w:t>Action Plan:</w:t>
            </w:r>
          </w:p>
          <w:p>
            <w:pPr>
              <w:pStyle w:val="Normal"/>
              <w:keepLines/>
              <w:autoSpaceDE w:val="false"/>
              <w:spacing w:lineRule="atLeast" w:line="240"/>
              <w:ind w:start="1080" w:end="0"/>
              <w:jc w:val="both"/>
              <w:rPr>
                <w:color w:val="000000"/>
                <w:szCs w:val="20"/>
              </w:rPr>
            </w:pPr>
            <w:r>
              <w:rPr>
                <w:color w:val="000000"/>
                <w:szCs w:val="20"/>
              </w:rPr>
              <w:t>Press finalization of the congestion management system, which is holding up progress on planning, pricing, ancillary services, etc.  The two key parties to move are BPA and PacifiCorp, with the latter being the most difficult at the moment given their representation at meetings.  They apparently have not or cannot make an internal decision on how to move ahead.  As a result their current rep raises controversy to avoid consensus.  Approach their management to see if we can identify the issues behind their resistance to moving ahead.</w:t>
            </w:r>
          </w:p>
          <w:p>
            <w:pPr>
              <w:pStyle w:val="Normal"/>
              <w:keepLines/>
              <w:autoSpaceDE w:val="false"/>
              <w:spacing w:lineRule="atLeast" w:line="240"/>
              <w:ind w:start="1080" w:end="0"/>
              <w:jc w:val="both"/>
              <w:rPr>
                <w:color w:val="000000"/>
                <w:szCs w:val="20"/>
              </w:rPr>
            </w:pPr>
            <w:r>
              <w:rPr>
                <w:color w:val="000000"/>
                <w:szCs w:val="20"/>
              </w:rPr>
              <w:t>Work with states through WGA and CREPC to sell them on the need for RTO, thereby reducing transmission owner anxiety of cost disallowance in State proceedings.</w:t>
            </w:r>
          </w:p>
          <w:p>
            <w:pPr>
              <w:pStyle w:val="Normal"/>
              <w:keepLines/>
              <w:autoSpaceDE w:val="false"/>
              <w:spacing w:lineRule="atLeast" w:line="240"/>
              <w:ind w:start="1080" w:end="0"/>
              <w:jc w:val="both"/>
              <w:rPr>
                <w:color w:val="000000"/>
                <w:szCs w:val="20"/>
              </w:rPr>
            </w:pPr>
            <w:r>
              <w:rPr>
                <w:color w:val="000000"/>
                <w:szCs w:val="20"/>
              </w:rPr>
              <w:t>Propose comments on August filing asking Commission to set deadlines for delivery of tariff and to ask once more for immediate action on selection of Board.</w:t>
            </w:r>
          </w:p>
          <w:p>
            <w:pPr>
              <w:pStyle w:val="Normal"/>
              <w:keepLines/>
              <w:autoSpaceDE w:val="false"/>
              <w:spacing w:lineRule="atLeast" w:line="240"/>
              <w:ind w:start="720" w:end="0"/>
              <w:jc w:val="both"/>
              <w:rPr>
                <w:b/>
                <w:bCs/>
                <w:color w:val="000000"/>
                <w:szCs w:val="20"/>
              </w:rPr>
            </w:pPr>
            <w:r>
              <w:rPr>
                <w:b/>
                <w:bCs/>
                <w:color w:val="000000"/>
                <w:szCs w:val="20"/>
              </w:rPr>
            </w:r>
          </w:p>
          <w:p>
            <w:pPr>
              <w:pStyle w:val="Normal"/>
              <w:keepLines/>
              <w:autoSpaceDE w:val="false"/>
              <w:spacing w:lineRule="atLeast" w:line="240"/>
              <w:jc w:val="both"/>
              <w:rPr>
                <w:color w:val="000000"/>
                <w:szCs w:val="20"/>
                <w:u w:val="single"/>
              </w:rPr>
            </w:pPr>
            <w:r>
              <w:rPr>
                <w:b/>
                <w:bCs/>
                <w:color w:val="000000"/>
                <w:szCs w:val="20"/>
                <w:u w:val="single"/>
              </w:rPr>
              <w:t>RTO West -- Eighteen Month Plan</w:t>
            </w:r>
          </w:p>
          <w:p>
            <w:pPr>
              <w:pStyle w:val="Normal"/>
              <w:keepLines/>
              <w:autoSpaceDE w:val="false"/>
              <w:spacing w:lineRule="atLeast" w:line="240"/>
              <w:jc w:val="both"/>
              <w:rPr>
                <w:color w:val="000000"/>
                <w:szCs w:val="20"/>
                <w:u w:val="single"/>
              </w:rPr>
            </w:pPr>
            <w:r>
              <w:rPr>
                <w:color w:val="000000"/>
                <w:szCs w:val="20"/>
                <w:u w:val="single"/>
              </w:rPr>
            </w:r>
          </w:p>
          <w:p>
            <w:pPr>
              <w:pStyle w:val="Normal"/>
              <w:keepLines/>
              <w:autoSpaceDE w:val="false"/>
              <w:spacing w:lineRule="atLeast" w:line="240"/>
              <w:ind w:start="360" w:end="0"/>
              <w:jc w:val="both"/>
              <w:rPr>
                <w:b/>
                <w:bCs/>
                <w:color w:val="000000"/>
                <w:szCs w:val="20"/>
              </w:rPr>
            </w:pPr>
            <w:r>
              <w:rPr>
                <w:b/>
                <w:bCs/>
                <w:color w:val="000000"/>
                <w:szCs w:val="20"/>
              </w:rPr>
              <w:t>Expectation:</w:t>
            </w:r>
          </w:p>
          <w:p>
            <w:pPr>
              <w:pStyle w:val="BodyTextIndent3"/>
              <w:rPr/>
            </w:pPr>
            <w:r>
              <w:rPr/>
              <w:t xml:space="preserve">If a tariff filing is made in December 2001, the Commission is unlikely to approve before April 2002.  The process of seating an RTO West Board will take at least 3-4 months.  As a result, it will be Fall 2002 before staffing begins and procurement of hardware/software begins.  I can't see how initial operation will occur before mid-2003.  </w:t>
            </w:r>
          </w:p>
          <w:p>
            <w:pPr>
              <w:pStyle w:val="Normal"/>
              <w:keepLines/>
              <w:autoSpaceDE w:val="false"/>
              <w:spacing w:lineRule="atLeast" w:line="240"/>
              <w:ind w:start="720" w:end="0"/>
              <w:jc w:val="both"/>
              <w:rPr>
                <w:color w:val="000000"/>
                <w:szCs w:val="20"/>
              </w:rPr>
            </w:pPr>
            <w:r>
              <w:rPr>
                <w:color w:val="000000"/>
                <w:szCs w:val="20"/>
              </w:rPr>
            </w:r>
          </w:p>
          <w:p>
            <w:pPr>
              <w:pStyle w:val="Normal"/>
              <w:keepLines/>
              <w:autoSpaceDE w:val="false"/>
              <w:spacing w:lineRule="atLeast" w:line="240"/>
              <w:ind w:start="360" w:end="0"/>
              <w:jc w:val="both"/>
              <w:rPr>
                <w:b/>
                <w:bCs/>
                <w:color w:val="000000"/>
                <w:szCs w:val="20"/>
              </w:rPr>
            </w:pPr>
            <w:r>
              <w:rPr>
                <w:b/>
                <w:bCs/>
                <w:color w:val="000000"/>
                <w:szCs w:val="20"/>
              </w:rPr>
              <w:t>Action Plan:</w:t>
            </w:r>
          </w:p>
          <w:p>
            <w:pPr>
              <w:pStyle w:val="Normal"/>
              <w:keepLines/>
              <w:autoSpaceDE w:val="false"/>
              <w:spacing w:lineRule="atLeast" w:line="240"/>
              <w:ind w:start="1080" w:end="0"/>
              <w:jc w:val="both"/>
              <w:rPr>
                <w:color w:val="000000"/>
                <w:szCs w:val="20"/>
              </w:rPr>
            </w:pPr>
            <w:r>
              <w:rPr>
                <w:color w:val="000000"/>
                <w:szCs w:val="20"/>
              </w:rPr>
              <w:t>Press Commission to force Board selection as soon as possible, to keep operational date from slipping.</w:t>
            </w:r>
          </w:p>
          <w:p>
            <w:pPr>
              <w:pStyle w:val="Normal"/>
              <w:keepLines/>
              <w:autoSpaceDE w:val="false"/>
              <w:spacing w:lineRule="atLeast" w:line="240"/>
              <w:ind w:start="1080" w:end="0"/>
              <w:jc w:val="both"/>
              <w:rPr>
                <w:color w:val="000000"/>
                <w:szCs w:val="20"/>
              </w:rPr>
            </w:pPr>
            <w:r>
              <w:rPr>
                <w:color w:val="000000"/>
                <w:szCs w:val="20"/>
              </w:rPr>
              <w:t>If filing in December is not made or has major holes, ask Commission to impose Standard Model with deadline for operation.</w:t>
            </w:r>
          </w:p>
          <w:p>
            <w:pPr>
              <w:pStyle w:val="Normal"/>
              <w:jc w:val="both"/>
              <w:rPr>
                <w:b/>
                <w:bCs/>
                <w:color w:val="000000"/>
                <w:szCs w:val="20"/>
              </w:rPr>
            </w:pPr>
            <w:r>
              <w:rPr>
                <w:b/>
                <w:bCs/>
                <w:color w:val="000000"/>
                <w:szCs w:val="20"/>
              </w:rPr>
            </w:r>
          </w:p>
        </w:tc>
      </w:tr>
    </w:tbl>
    <w:p>
      <w:pPr>
        <w:pStyle w:val="Normal"/>
        <w:rPr>
          <w:b/>
          <w:bCs/>
        </w:rPr>
      </w:pPr>
      <w:r>
        <w:br w:type="page"/>
      </w:r>
      <w:r>
        <w:rPr>
          <w:b/>
          <w:bCs/>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ms Rmn">
    <w:altName w:val="Times New Roman"/>
    <w:charset w:val="00" w:characterSet="windows-1252"/>
    <w:family w:val="roman"/>
    <w:pitch w:val="variable"/>
  </w:font>
  <w:font w:name="Arial Unicode MS">
    <w:charset w:val="80"/>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Notable notes and Observations, the first section on continued funding.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bullet"/>
      <w:lvlText w:val=""/>
      <w:lvlJc w:val="start"/>
      <w:pPr>
        <w:tabs>
          <w:tab w:val="num" w:pos="780"/>
        </w:tabs>
        <w:ind w:start="78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numFmt w:val="bullet"/>
      <w:lvlText w:val=""/>
      <w:lvlJc w:val="start"/>
      <w:pPr>
        <w:tabs>
          <w:tab w:val="num" w:pos="0"/>
        </w:tabs>
        <w:ind w:start="0" w:hanging="0"/>
      </w:pPr>
      <w:rPr>
        <w:rFonts w:ascii="Wingdings" w:hAnsi="Wingdings" w:cs="Wingdings" w:hint="default"/>
        <w:sz w:val="24"/>
      </w:rPr>
    </w:lvl>
  </w:abstractNum>
  <w:abstractNum w:abstractNumId="9">
    <w:lvl w:ilvl="0">
      <w:numFmt w:val="bullet"/>
      <w:lvlText w:val=""/>
      <w:lvlJc w:val="start"/>
      <w:pPr>
        <w:tabs>
          <w:tab w:val="num" w:pos="0"/>
        </w:tabs>
        <w:ind w:start="0" w:hanging="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5"/>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4">
    <w:name w:val="heading 4"/>
    <w:basedOn w:val="Normal"/>
    <w:next w:val="Normal"/>
    <w:qFormat/>
    <w:pPr>
      <w:keepNext w:val="true"/>
      <w:numPr>
        <w:ilvl w:val="3"/>
        <w:numId w:val="1"/>
      </w:numPr>
      <w:outlineLvl w:val="3"/>
    </w:pPr>
    <w:rPr>
      <w:rFonts w:cs="Arial"/>
      <w:b/>
      <w:bCs/>
      <w:kern w:val="2"/>
      <w:sz w:val="32"/>
      <w:szCs w:val="32"/>
    </w:rPr>
  </w:style>
  <w:style w:type="paragraph" w:styleId="Heading5">
    <w:name w:val="heading 5"/>
    <w:basedOn w:val="Normal"/>
    <w:next w:val="Normal"/>
    <w:qFormat/>
    <w:pPr>
      <w:keepNext w:val="true"/>
      <w:numPr>
        <w:ilvl w:val="4"/>
        <w:numId w:val="1"/>
      </w:numPr>
      <w:outlineLvl w:val="4"/>
    </w:pPr>
    <w:rPr>
      <w:b/>
      <w:bCs/>
    </w:rPr>
  </w:style>
  <w:style w:type="paragraph" w:styleId="Heading8">
    <w:name w:val="heading 8"/>
    <w:basedOn w:val="Normal"/>
    <w:next w:val="Normal"/>
    <w:qFormat/>
    <w:pPr>
      <w:keepNext w:val="true"/>
      <w:keepLines/>
      <w:numPr>
        <w:ilvl w:val="7"/>
        <w:numId w:val="1"/>
      </w:numPr>
      <w:autoSpaceDE w:val="false"/>
      <w:spacing w:lineRule="atLeast" w:line="240"/>
      <w:jc w:val="both"/>
      <w:outlineLvl w:val="7"/>
    </w:pPr>
    <w:rPr>
      <w:b/>
      <w:bCs/>
      <w:color w:val="000000"/>
      <w:szCs w:val="20"/>
      <w:u w:val="singl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St4z0">
    <w:name w:val="WW8NumSt4z0"/>
    <w:qFormat/>
    <w:rPr>
      <w:rFonts w:ascii="Wingdings" w:hAnsi="Wingdings" w:cs="Wingdings"/>
      <w:sz w:val="24"/>
    </w:rPr>
  </w:style>
  <w:style w:type="character" w:styleId="WW8NumSt5z0">
    <w:name w:val="WW8NumSt5z0"/>
    <w:qFormat/>
    <w:rPr>
      <w:rFonts w:ascii="Wingdings" w:hAnsi="Wingdings" w:cs="Wingdings"/>
      <w:sz w:val="2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autoSpaceDE w:val="false"/>
      <w:spacing w:lineRule="atLeast" w:line="240"/>
      <w:jc w:val="center"/>
    </w:pPr>
    <w:rPr>
      <w:rFonts w:ascii="Tms Rmn;Times New Roman" w:hAnsi="Tms Rmn;Times New Roman" w:cs="Tms Rmn;Times New Roman"/>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rPr>
  </w:style>
  <w:style w:type="paragraph" w:styleId="FootnoteText">
    <w:name w:val="footnote text"/>
    <w:basedOn w:val="Normal"/>
    <w:pPr/>
    <w:rPr>
      <w:rFonts w:ascii="Arial" w:hAnsi="Arial" w:cs="Arial"/>
      <w:sz w:val="20"/>
      <w:szCs w:val="20"/>
    </w:rPr>
  </w:style>
  <w:style w:type="paragraph" w:styleId="BodyTextIndent3">
    <w:name w:val="Body Text Indent 3"/>
    <w:basedOn w:val="Normal"/>
    <w:qFormat/>
    <w:pPr>
      <w:keepLines/>
      <w:autoSpaceDE w:val="false"/>
      <w:spacing w:lineRule="atLeast" w:line="240"/>
      <w:ind w:hanging="0" w:start="720" w:end="0"/>
      <w:jc w:val="both"/>
    </w:pPr>
    <w:rPr>
      <w:color w:val="00000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2001-08-27T17:29:00Z</dcterms:created>
  <dc:creator>lnoske</dc:creator>
  <dc:description/>
  <dc:language>en-CA</dc:language>
  <cp:lastModifiedBy>lnoske</cp:lastModifiedBy>
  <dcterms:modified xsi:type="dcterms:W3CDTF">2001-08-27T17:30:00Z</dcterms:modified>
  <cp:revision>1</cp:revision>
  <dc:subject/>
  <dc:title>STEVE WALTON</dc:title>
</cp:coreProperties>
</file>