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rFonts w:cs="Arial"/>
          <w:sz w:val="20"/>
        </w:rPr>
      </w:pPr>
      <w:r>
        <w:rPr>
          <w:rFonts w:cs="Arial"/>
          <w:sz w:val="20"/>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rFonts w:cs="Arial"/>
          <w:sz w:val="20"/>
        </w:rPr>
      </w:pPr>
      <w:r>
        <w:rPr>
          <w:rFonts w:cs="Arial"/>
          <w:sz w:val="20"/>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rFonts w:cs="Arial"/>
                <w:sz w:val="20"/>
              </w:rPr>
            </w:pPr>
            <w:r>
              <w:rPr>
                <w:rFonts w:cs="Arial"/>
                <w:sz w:val="20"/>
              </w:rPr>
              <w:t>To:</w:t>
            </w:r>
          </w:p>
        </w:tc>
        <w:tc>
          <w:tcPr>
            <w:tcW w:w="6045" w:type="dxa"/>
            <w:tcBorders/>
          </w:tcPr>
          <w:p>
            <w:pPr>
              <w:pStyle w:val="To"/>
              <w:rPr>
                <w:rFonts w:cs="Arial"/>
              </w:rPr>
            </w:pPr>
            <w:r>
              <w:rPr>
                <w:rFonts w:cs="Arial"/>
              </w:rPr>
              <w:t>E-mail Recipients</w:t>
            </w:r>
          </w:p>
        </w:tc>
        <w:tc>
          <w:tcPr>
            <w:tcW w:w="990" w:type="dxa"/>
            <w:tcBorders/>
          </w:tcPr>
          <w:p>
            <w:pPr>
              <w:pStyle w:val="Normal"/>
              <w:snapToGrid w:val="false"/>
              <w:ind w:start="-180" w:end="0"/>
              <w:rPr>
                <w:rFonts w:cs="Arial"/>
                <w:sz w:val="20"/>
              </w:rPr>
            </w:pPr>
            <w:r>
              <w:rPr>
                <w:rFonts w:cs="Arial"/>
                <w:sz w:val="20"/>
              </w:rPr>
            </w:r>
          </w:p>
        </w:tc>
        <w:tc>
          <w:tcPr>
            <w:tcW w:w="2965" w:type="dxa"/>
            <w:tcBorders/>
          </w:tcPr>
          <w:p>
            <w:pPr>
              <w:pStyle w:val="Normal"/>
              <w:snapToGrid w:val="false"/>
              <w:rPr>
                <w:rFonts w:cs="Arial"/>
                <w:sz w:val="20"/>
              </w:rPr>
            </w:pPr>
            <w:r>
              <w:rPr>
                <w:rFonts w:cs="Arial"/>
                <w:sz w:val="20"/>
              </w:rPr>
            </w:r>
          </w:p>
        </w:tc>
      </w:tr>
      <w:tr>
        <w:trPr>
          <w:trHeight w:val="216" w:hRule="exact"/>
        </w:trPr>
        <w:tc>
          <w:tcPr>
            <w:tcW w:w="708" w:type="dxa"/>
            <w:tcBorders/>
          </w:tcPr>
          <w:p>
            <w:pPr>
              <w:pStyle w:val="Normal"/>
              <w:snapToGrid w:val="false"/>
              <w:ind w:start="-180" w:end="0"/>
              <w:jc w:val="end"/>
              <w:rPr>
                <w:rFonts w:cs="Arial"/>
                <w:sz w:val="20"/>
              </w:rPr>
            </w:pPr>
            <w:r>
              <w:rPr>
                <w:rFonts w:cs="Arial"/>
                <w:sz w:val="20"/>
              </w:rPr>
            </w:r>
          </w:p>
        </w:tc>
        <w:tc>
          <w:tcPr>
            <w:tcW w:w="6045" w:type="dxa"/>
            <w:tcBorders/>
          </w:tcPr>
          <w:p>
            <w:pPr>
              <w:pStyle w:val="Normal"/>
              <w:snapToGrid w:val="false"/>
              <w:rPr>
                <w:rFonts w:cs="Arial"/>
                <w:sz w:val="20"/>
              </w:rPr>
            </w:pPr>
            <w:r>
              <w:rPr>
                <w:rFonts w:cs="Arial"/>
                <w:sz w:val="20"/>
              </w:rPr>
            </w:r>
          </w:p>
        </w:tc>
        <w:tc>
          <w:tcPr>
            <w:tcW w:w="990" w:type="dxa"/>
            <w:tcBorders/>
          </w:tcPr>
          <w:p>
            <w:pPr>
              <w:pStyle w:val="Normal"/>
              <w:snapToGrid w:val="false"/>
              <w:ind w:start="-180" w:end="0"/>
              <w:rPr>
                <w:rFonts w:cs="Arial"/>
                <w:sz w:val="20"/>
              </w:rPr>
            </w:pPr>
            <w:r>
              <w:rPr>
                <w:rFonts w:cs="Arial"/>
                <w:sz w:val="20"/>
              </w:rPr>
            </w:r>
          </w:p>
        </w:tc>
        <w:tc>
          <w:tcPr>
            <w:tcW w:w="2965" w:type="dxa"/>
            <w:tcBorders/>
          </w:tcPr>
          <w:p>
            <w:pPr>
              <w:pStyle w:val="Normal"/>
              <w:snapToGrid w:val="false"/>
              <w:rPr>
                <w:rFonts w:cs="Arial"/>
                <w:sz w:val="20"/>
              </w:rPr>
            </w:pPr>
            <w:r>
              <w:rPr>
                <w:rFonts w:cs="Arial"/>
                <w:sz w:val="20"/>
              </w:rPr>
            </w:r>
          </w:p>
        </w:tc>
      </w:tr>
      <w:tr>
        <w:trPr>
          <w:trHeight w:val="300" w:hRule="exact"/>
        </w:trPr>
        <w:tc>
          <w:tcPr>
            <w:tcW w:w="708" w:type="dxa"/>
            <w:tcBorders/>
          </w:tcPr>
          <w:p>
            <w:pPr>
              <w:pStyle w:val="Normal"/>
              <w:ind w:start="-180" w:end="0"/>
              <w:jc w:val="end"/>
              <w:rPr>
                <w:rFonts w:cs="Arial"/>
                <w:sz w:val="20"/>
              </w:rPr>
            </w:pPr>
            <w:r>
              <w:rPr>
                <w:rFonts w:cs="Arial"/>
                <w:sz w:val="20"/>
              </w:rPr>
              <w:t>From:</w:t>
            </w:r>
          </w:p>
        </w:tc>
        <w:tc>
          <w:tcPr>
            <w:tcW w:w="6045" w:type="dxa"/>
            <w:tcBorders/>
          </w:tcPr>
          <w:p>
            <w:pPr>
              <w:pStyle w:val="From"/>
              <w:rPr>
                <w:rFonts w:cs="Arial"/>
              </w:rPr>
            </w:pPr>
            <w:r>
              <w:rPr>
                <w:rFonts w:cs="Arial"/>
              </w:rPr>
              <w:t>Mary Schoen</w:t>
            </w:r>
          </w:p>
        </w:tc>
        <w:tc>
          <w:tcPr>
            <w:tcW w:w="990" w:type="dxa"/>
            <w:tcBorders/>
          </w:tcPr>
          <w:p>
            <w:pPr>
              <w:pStyle w:val="Normal"/>
              <w:ind w:start="-180" w:end="0"/>
              <w:jc w:val="end"/>
              <w:rPr>
                <w:rFonts w:cs="Arial"/>
                <w:sz w:val="20"/>
              </w:rPr>
            </w:pPr>
            <w:r>
              <w:rPr>
                <w:rFonts w:cs="Arial"/>
                <w:sz w:val="20"/>
              </w:rPr>
              <w:t>Department:</w:t>
            </w:r>
          </w:p>
        </w:tc>
        <w:tc>
          <w:tcPr>
            <w:tcW w:w="2965" w:type="dxa"/>
            <w:tcBorders/>
          </w:tcPr>
          <w:p>
            <w:pPr>
              <w:pStyle w:val="Department"/>
              <w:rPr>
                <w:rFonts w:cs="Arial"/>
              </w:rPr>
            </w:pPr>
            <w:bookmarkStart w:id="0" w:name="From"/>
            <w:bookmarkEnd w:id="0"/>
            <w:r>
              <w:rPr>
                <w:rFonts w:cs="Arial"/>
              </w:rPr>
              <w:t>Environmental Strategies</w:t>
            </w:r>
          </w:p>
        </w:tc>
      </w:tr>
      <w:tr>
        <w:trPr>
          <w:trHeight w:val="216" w:hRule="exact"/>
        </w:trPr>
        <w:tc>
          <w:tcPr>
            <w:tcW w:w="708" w:type="dxa"/>
            <w:tcBorders/>
          </w:tcPr>
          <w:p>
            <w:pPr>
              <w:pStyle w:val="Normal"/>
              <w:snapToGrid w:val="false"/>
              <w:ind w:start="-180" w:end="0"/>
              <w:jc w:val="end"/>
              <w:rPr>
                <w:rFonts w:cs="Arial"/>
                <w:sz w:val="20"/>
              </w:rPr>
            </w:pPr>
            <w:r>
              <w:rPr>
                <w:rFonts w:cs="Arial"/>
                <w:sz w:val="20"/>
              </w:rPr>
            </w:r>
          </w:p>
        </w:tc>
        <w:tc>
          <w:tcPr>
            <w:tcW w:w="6045" w:type="dxa"/>
            <w:tcBorders/>
          </w:tcPr>
          <w:p>
            <w:pPr>
              <w:pStyle w:val="Normal"/>
              <w:snapToGrid w:val="false"/>
              <w:rPr>
                <w:rFonts w:cs="Arial"/>
                <w:sz w:val="20"/>
              </w:rPr>
            </w:pPr>
            <w:r>
              <w:rPr>
                <w:rFonts w:cs="Arial"/>
                <w:sz w:val="20"/>
              </w:rPr>
            </w:r>
          </w:p>
        </w:tc>
        <w:tc>
          <w:tcPr>
            <w:tcW w:w="990" w:type="dxa"/>
            <w:tcBorders/>
          </w:tcPr>
          <w:p>
            <w:pPr>
              <w:pStyle w:val="Normal"/>
              <w:snapToGrid w:val="false"/>
              <w:ind w:start="-180" w:end="0"/>
              <w:rPr>
                <w:rFonts w:cs="Arial"/>
                <w:sz w:val="20"/>
              </w:rPr>
            </w:pPr>
            <w:r>
              <w:rPr>
                <w:rFonts w:cs="Arial"/>
                <w:sz w:val="20"/>
              </w:rPr>
            </w:r>
          </w:p>
        </w:tc>
        <w:tc>
          <w:tcPr>
            <w:tcW w:w="2965" w:type="dxa"/>
            <w:tcBorders/>
          </w:tcPr>
          <w:p>
            <w:pPr>
              <w:pStyle w:val="Normal"/>
              <w:snapToGrid w:val="false"/>
              <w:rPr>
                <w:rFonts w:cs="Arial"/>
                <w:sz w:val="20"/>
              </w:rPr>
            </w:pPr>
            <w:r>
              <w:rPr>
                <w:rFonts w:cs="Arial"/>
                <w:sz w:val="20"/>
              </w:rPr>
            </w:r>
          </w:p>
        </w:tc>
      </w:tr>
      <w:tr>
        <w:trPr>
          <w:trHeight w:val="600" w:hRule="exact"/>
        </w:trPr>
        <w:tc>
          <w:tcPr>
            <w:tcW w:w="708" w:type="dxa"/>
            <w:tcBorders>
              <w:bottom w:val="single" w:sz="12" w:space="0" w:color="000000"/>
            </w:tcBorders>
          </w:tcPr>
          <w:p>
            <w:pPr>
              <w:pStyle w:val="Normal"/>
              <w:ind w:start="-180" w:end="0"/>
              <w:jc w:val="end"/>
              <w:rPr>
                <w:rFonts w:cs="Arial"/>
                <w:sz w:val="20"/>
              </w:rPr>
            </w:pPr>
            <w:r>
              <w:rPr>
                <w:rFonts w:cs="Arial"/>
                <w:sz w:val="20"/>
              </w:rPr>
              <w:t>Subject:</w:t>
            </w:r>
          </w:p>
        </w:tc>
        <w:tc>
          <w:tcPr>
            <w:tcW w:w="6045" w:type="dxa"/>
            <w:tcBorders>
              <w:bottom w:val="single" w:sz="12" w:space="0" w:color="000000"/>
            </w:tcBorders>
          </w:tcPr>
          <w:p>
            <w:pPr>
              <w:pStyle w:val="Subject"/>
              <w:rPr>
                <w:rFonts w:cs="Arial"/>
              </w:rPr>
            </w:pPr>
            <w:r>
              <w:rPr>
                <w:rFonts w:cs="Arial"/>
              </w:rPr>
              <w:t>LA Area Emission Offsets:  RECLAIM Trading Markets vs. ERC Requirements</w:t>
            </w:r>
          </w:p>
        </w:tc>
        <w:tc>
          <w:tcPr>
            <w:tcW w:w="990" w:type="dxa"/>
            <w:tcBorders>
              <w:bottom w:val="single" w:sz="12" w:space="0" w:color="000000"/>
            </w:tcBorders>
          </w:tcPr>
          <w:p>
            <w:pPr>
              <w:pStyle w:val="Normal"/>
              <w:ind w:start="-180" w:end="0"/>
              <w:jc w:val="end"/>
              <w:rPr>
                <w:rFonts w:cs="Arial"/>
                <w:sz w:val="20"/>
              </w:rPr>
            </w:pPr>
            <w:r>
              <w:rPr>
                <w:rFonts w:cs="Arial"/>
                <w:sz w:val="20"/>
              </w:rPr>
              <w:t>Date:</w:t>
            </w:r>
          </w:p>
        </w:tc>
        <w:tc>
          <w:tcPr>
            <w:tcW w:w="2965" w:type="dxa"/>
            <w:tcBorders>
              <w:bottom w:val="single" w:sz="12" w:space="0" w:color="000000"/>
            </w:tcBorders>
          </w:tcPr>
          <w:p>
            <w:pPr>
              <w:pStyle w:val="Date"/>
              <w:rPr>
                <w:rFonts w:cs="Arial"/>
              </w:rPr>
            </w:pPr>
            <w:r>
              <w:rPr>
                <w:rFonts w:cs="Arial"/>
              </w:rPr>
              <w:fldChar w:fldCharType="begin"/>
            </w:r>
            <w:r>
              <w:rPr>
                <w:rFonts w:cs="Arial"/>
              </w:rPr>
              <w:instrText xml:space="preserve"> DATE \@"MMMM\ d', 'yyyy" </w:instrText>
            </w:r>
            <w:r>
              <w:rPr>
                <w:rFonts w:cs="Arial"/>
              </w:rPr>
              <w:fldChar w:fldCharType="separate"/>
            </w:r>
            <w:r>
              <w:rPr>
                <w:rFonts w:cs="Arial"/>
              </w:rPr>
              <w:t>September 28, 2025</w:t>
            </w:r>
            <w:r>
              <w:rPr>
                <w:rFonts w:cs="Arial"/>
              </w:rPr>
              <w:fldChar w:fldCharType="end"/>
            </w:r>
          </w:p>
        </w:tc>
      </w:tr>
    </w:tbl>
    <w:p>
      <w:pPr>
        <w:pStyle w:val="Body"/>
        <w:rPr>
          <w:rFonts w:cs="Arial"/>
        </w:rPr>
      </w:pPr>
      <w:r>
        <w:rPr>
          <w:rFonts w:cs="Arial"/>
        </w:rPr>
      </w:r>
      <w:bookmarkStart w:id="1" w:name="StartOfMemo"/>
      <w:bookmarkStart w:id="2" w:name="StartOfMemo"/>
      <w:bookmarkEnd w:id="2"/>
    </w:p>
    <w:p>
      <w:pPr>
        <w:pStyle w:val="Normal"/>
        <w:rPr>
          <w:rFonts w:cs="Arial"/>
          <w:sz w:val="20"/>
        </w:rPr>
      </w:pPr>
      <w:r>
        <w:rPr>
          <w:rFonts w:cs="Arial"/>
          <w:sz w:val="20"/>
        </w:rPr>
        <w:t>Scott – I had one of our consultants help me do some digging on these markets since there was so much contradictory information floating around.  This memo addresses the application of and interactions between the new source offset program and the RECLAIM allowance trading program in the South Coast Air Quality Management District (SCAQMD) surrounding Los Angeles.  In researching this memo we spoke to a variety of official and private sources and received much conflicting information on some of these issues.  This summary reflects our best assessment of the most credible information on the subject.</w:t>
      </w:r>
    </w:p>
    <w:p>
      <w:pPr>
        <w:pStyle w:val="Normal"/>
        <w:rPr>
          <w:rFonts w:cs="Arial"/>
          <w:sz w:val="20"/>
        </w:rPr>
      </w:pPr>
      <w:r>
        <w:rPr>
          <w:rFonts w:cs="Arial"/>
          <w:sz w:val="20"/>
        </w:rPr>
      </w:r>
    </w:p>
    <w:p>
      <w:pPr>
        <w:pStyle w:val="Normal"/>
        <w:rPr>
          <w:rFonts w:cs="Arial"/>
          <w:b/>
          <w:sz w:val="20"/>
        </w:rPr>
      </w:pPr>
      <w:r>
        <w:rPr>
          <w:rFonts w:cs="Arial"/>
          <w:b/>
          <w:sz w:val="20"/>
        </w:rPr>
        <w:t>New Source Offsets (ERCs)</w:t>
      </w:r>
    </w:p>
    <w:p>
      <w:pPr>
        <w:pStyle w:val="Normal"/>
        <w:rPr>
          <w:rFonts w:cs="Arial"/>
          <w:b/>
          <w:sz w:val="20"/>
        </w:rPr>
      </w:pPr>
      <w:r>
        <w:rPr>
          <w:rFonts w:cs="Arial"/>
          <w:b/>
          <w:sz w:val="20"/>
        </w:rPr>
      </w:r>
    </w:p>
    <w:p>
      <w:pPr>
        <w:pStyle w:val="Normal"/>
        <w:rPr>
          <w:rFonts w:cs="Arial"/>
          <w:sz w:val="20"/>
        </w:rPr>
      </w:pPr>
      <w:r>
        <w:rPr>
          <w:rFonts w:cs="Arial"/>
          <w:sz w:val="20"/>
        </w:rPr>
        <w:t xml:space="preserve">The federal new source review (NSR) program requires new or modified major facilities to "offset" their emissions.  Offsetting means creating a contemporaneous reduction in emissions somewhere else in the region that offsets the increased emissions from the new or modified facility so that there is no net increase.  In fact, the offset reduction must be slightly larger than the increase so that there is a net decrease in emissions.  The offset level is based on the designated level of nonattainment in the geographic area.  The minimum size facility that must create offsets is also a function of the nonattainment level. </w:t>
      </w:r>
    </w:p>
    <w:p>
      <w:pPr>
        <w:pStyle w:val="Normal"/>
        <w:rPr>
          <w:rFonts w:cs="Arial"/>
          <w:sz w:val="20"/>
        </w:rPr>
      </w:pPr>
      <w:r>
        <w:rPr>
          <w:rFonts w:cs="Arial"/>
          <w:sz w:val="20"/>
        </w:rPr>
      </w:r>
    </w:p>
    <w:p>
      <w:pPr>
        <w:pStyle w:val="Normal"/>
        <w:rPr/>
      </w:pPr>
      <w:r>
        <w:rPr>
          <w:rFonts w:cs="Arial"/>
          <w:sz w:val="20"/>
        </w:rPr>
        <w:t>In response to many years exceeding the ambient air quality standard for ground level ozone (smog), the EPA has designated the south coast area as an extreme nonattainment area for ozone. This designation requires emissions offsetting at a ratio of 1.2:1.  The federal minimum threshold for triggering NSR in this area is 10 tons per year (tpy) potential NO</w:t>
      </w:r>
      <w:r>
        <w:rPr>
          <w:rFonts w:cs="Arial"/>
          <w:sz w:val="20"/>
          <w:vertAlign w:val="subscript"/>
        </w:rPr>
        <w:t>x</w:t>
      </w:r>
      <w:r>
        <w:rPr>
          <w:rFonts w:cs="Arial"/>
          <w:sz w:val="20"/>
        </w:rPr>
        <w:t xml:space="preserve"> emissions for new sources and any potential increase greater than zero for modifications. </w:t>
      </w:r>
    </w:p>
    <w:p>
      <w:pPr>
        <w:pStyle w:val="Normal"/>
        <w:rPr>
          <w:rFonts w:cs="Arial"/>
          <w:sz w:val="20"/>
        </w:rPr>
      </w:pPr>
      <w:r>
        <w:rPr>
          <w:rFonts w:cs="Arial"/>
          <w:sz w:val="20"/>
        </w:rPr>
      </w:r>
    </w:p>
    <w:p>
      <w:pPr>
        <w:pStyle w:val="Normal"/>
        <w:rPr>
          <w:rFonts w:cs="Arial"/>
          <w:sz w:val="20"/>
        </w:rPr>
      </w:pPr>
      <w:r>
        <w:rPr>
          <w:rFonts w:cs="Arial"/>
          <w:sz w:val="20"/>
        </w:rPr>
        <w:t xml:space="preserve">A facility can meet offset requirements by reducing emissions at a currently operating facility or by purchasing emission reduction credits (ERCs).  ERCs represent a qualifying reduction that has taken place in the past and been "banked" for future use.  In either case, the reduction must be surplus, permanent, verifiable and enforceable.  Since it is permanent, the reduction creates a continuing stream of reductions.  An ERC is a permanent stream of reductions that lasts year after year.  ERCs are traded in tons per year in most regions but in lbs/day in the SCAQMD.  ERCs are currently selling for about $14,000/lb/da in the SCAQMD and can be difficult to obtain.  Multiplying by 2000 lb/ton and dividing by 356 days/year gives an equivalent price of about $77,000 per ton. </w:t>
      </w:r>
    </w:p>
    <w:p>
      <w:pPr>
        <w:pStyle w:val="Normal"/>
        <w:rPr>
          <w:rFonts w:cs="Arial"/>
          <w:sz w:val="20"/>
        </w:rPr>
      </w:pPr>
      <w:r>
        <w:rPr>
          <w:rFonts w:cs="Arial"/>
          <w:sz w:val="20"/>
        </w:rPr>
      </w:r>
    </w:p>
    <w:p>
      <w:pPr>
        <w:pStyle w:val="Normal"/>
        <w:rPr/>
      </w:pPr>
      <w:r>
        <w:rPr>
          <w:rFonts w:cs="Arial"/>
          <w:sz w:val="20"/>
        </w:rPr>
        <w:t xml:space="preserve">SCAQMD regulations are more stringent than federal regulations and require offsetting of </w:t>
      </w:r>
      <w:r>
        <w:rPr>
          <w:rFonts w:cs="Arial"/>
          <w:i/>
          <w:sz w:val="20"/>
        </w:rPr>
        <w:t xml:space="preserve">any </w:t>
      </w:r>
      <w:r>
        <w:rPr>
          <w:rFonts w:cs="Arial"/>
          <w:sz w:val="20"/>
        </w:rPr>
        <w:t>increase for either new or modified sources.  However, sources with potential emissions less than 4 tpy receive a free grant of ERCs from the District.  Effectively, sources with a potential less than 4 tpy don't need to acquire offsets.  If a source has a potential greater than 4 tpy, then it must acquire the full potential amount of offsets.  If a source starts out below 4 tpy and maintains that level for at least two years before increasing its potential, it can keep its 4 tons of "free" offsets and is only required to acquire the difference.</w:t>
      </w:r>
    </w:p>
    <w:p>
      <w:pPr>
        <w:pStyle w:val="Normal"/>
        <w:rPr>
          <w:rFonts w:cs="Arial"/>
          <w:sz w:val="20"/>
        </w:rPr>
      </w:pPr>
      <w:r>
        <w:rPr>
          <w:rFonts w:cs="Arial"/>
          <w:sz w:val="20"/>
        </w:rPr>
      </w:r>
    </w:p>
    <w:p>
      <w:pPr>
        <w:pStyle w:val="Normal"/>
        <w:rPr>
          <w:rFonts w:cs="Arial"/>
          <w:b/>
          <w:sz w:val="20"/>
        </w:rPr>
      </w:pPr>
      <w:r>
        <w:rPr>
          <w:rFonts w:cs="Arial"/>
          <w:b/>
          <w:sz w:val="20"/>
        </w:rPr>
        <w:t>RECLAIM Credits (RTCs)</w:t>
      </w:r>
    </w:p>
    <w:p>
      <w:pPr>
        <w:pStyle w:val="Normal"/>
        <w:rPr>
          <w:rFonts w:cs="Arial"/>
          <w:b/>
          <w:sz w:val="20"/>
        </w:rPr>
      </w:pPr>
      <w:r>
        <w:rPr>
          <w:rFonts w:cs="Arial"/>
          <w:b/>
          <w:sz w:val="20"/>
        </w:rPr>
      </w:r>
    </w:p>
    <w:p>
      <w:pPr>
        <w:pStyle w:val="Normal"/>
        <w:rPr/>
      </w:pPr>
      <w:r>
        <w:rPr>
          <w:rFonts w:cs="Arial"/>
          <w:sz w:val="20"/>
        </w:rPr>
        <w:t>In Los Angeles and surrounding counties, the South Coast Air Quality Management District (SCAQMD) is responsible for regulating air quality.  In response to the poor air quality in the area, the SCAQMD established the REgional CLean Air Incentives Market (RECLAIM) program.  RECLAIM is an emissions trading program for NO</w:t>
      </w:r>
      <w:r>
        <w:rPr>
          <w:rFonts w:cs="Arial"/>
          <w:sz w:val="20"/>
          <w:vertAlign w:val="subscript"/>
        </w:rPr>
        <w:t>x</w:t>
      </w:r>
      <w:r>
        <w:rPr>
          <w:rFonts w:cs="Arial"/>
          <w:sz w:val="20"/>
        </w:rPr>
        <w:t xml:space="preserve"> and SO</w:t>
      </w:r>
      <w:r>
        <w:rPr>
          <w:rFonts w:cs="Arial"/>
          <w:sz w:val="20"/>
          <w:vertAlign w:val="subscript"/>
        </w:rPr>
        <w:t>x</w:t>
      </w:r>
      <w:r>
        <w:rPr>
          <w:rFonts w:cs="Arial"/>
          <w:sz w:val="20"/>
        </w:rPr>
        <w:t xml:space="preserve">.  Allowances in the RECLAIM program are called RECLAIM Trading Credits or RTCs.  </w:t>
      </w:r>
    </w:p>
    <w:p>
      <w:pPr>
        <w:pStyle w:val="Normal"/>
        <w:rPr>
          <w:rFonts w:cs="Arial"/>
          <w:sz w:val="20"/>
        </w:rPr>
      </w:pPr>
      <w:r>
        <w:rPr>
          <w:rFonts w:cs="Arial"/>
          <w:sz w:val="20"/>
        </w:rPr>
      </w:r>
    </w:p>
    <w:p>
      <w:pPr>
        <w:pStyle w:val="Normal"/>
        <w:rPr/>
      </w:pPr>
      <w:r>
        <w:rPr>
          <w:rFonts w:cs="Arial"/>
          <w:sz w:val="20"/>
        </w:rPr>
        <w:t>The RECLAIM program is an emissions cap and trade program for NO</w:t>
      </w:r>
      <w:r>
        <w:rPr>
          <w:rFonts w:cs="Arial"/>
          <w:sz w:val="20"/>
          <w:vertAlign w:val="subscript"/>
        </w:rPr>
        <w:t>x</w:t>
      </w:r>
      <w:r>
        <w:rPr>
          <w:rFonts w:cs="Arial"/>
          <w:sz w:val="20"/>
        </w:rPr>
        <w:t xml:space="preserve"> and SO</w:t>
      </w:r>
      <w:r>
        <w:rPr>
          <w:rFonts w:cs="Arial"/>
          <w:sz w:val="20"/>
          <w:vertAlign w:val="subscript"/>
        </w:rPr>
        <w:t>x</w:t>
      </w:r>
      <w:r>
        <w:rPr>
          <w:rFonts w:cs="Arial"/>
          <w:sz w:val="20"/>
        </w:rPr>
        <w:t>.  Any facility that emits 4 tons per year of NO</w:t>
      </w:r>
      <w:r>
        <w:rPr>
          <w:rFonts w:cs="Arial"/>
          <w:sz w:val="20"/>
          <w:vertAlign w:val="subscript"/>
        </w:rPr>
        <w:t>x</w:t>
      </w:r>
      <w:r>
        <w:rPr>
          <w:rFonts w:cs="Arial"/>
          <w:sz w:val="20"/>
        </w:rPr>
        <w:t xml:space="preserve"> or more must participate in RECLAIM.  There are a few types of facilities that are exempt from the program, including essential public service facilities such as fire stations, police facilities, public transit and potable water delivery operations.  RECLAIM requires facilities to hold RTCs equal to their actual emissions at the end of each reporting period.  Unlke ERCs, RTCs are not permanent and can be created through intermittent or temporary measures.  RTCs are sold in pounds.  The price of RTCs has fluctuated, particularly in the last year.  Prior to 2000, the price was as low as $0.50/lb ($1000/ton).  Last year prices went as high as $55/lb ($110,000/ton).  The current price for a bid in an upcoming auction of 60,000 RTCs is $13/lb ($26,000 per ton).</w:t>
      </w:r>
    </w:p>
    <w:p>
      <w:pPr>
        <w:pStyle w:val="eeaopen"/>
        <w:rPr>
          <w:rFonts w:ascii="Arial" w:hAnsi="Arial" w:cs="Arial"/>
          <w:sz w:val="20"/>
        </w:rPr>
      </w:pPr>
      <w:r>
        <w:rPr>
          <w:rFonts w:cs="Arial" w:ascii="Arial" w:hAnsi="Arial"/>
          <w:sz w:val="20"/>
        </w:rPr>
      </w:r>
    </w:p>
    <w:p>
      <w:pPr>
        <w:pStyle w:val="Normal"/>
        <w:rPr>
          <w:rFonts w:cs="Arial"/>
          <w:b/>
          <w:sz w:val="20"/>
        </w:rPr>
      </w:pPr>
      <w:r>
        <w:rPr>
          <w:rFonts w:cs="Arial"/>
          <w:b/>
          <w:sz w:val="20"/>
        </w:rPr>
        <w:t>Interaction Between the Programs</w:t>
      </w:r>
    </w:p>
    <w:p>
      <w:pPr>
        <w:pStyle w:val="Normal"/>
        <w:rPr>
          <w:rFonts w:cs="Arial"/>
          <w:b/>
          <w:sz w:val="20"/>
        </w:rPr>
      </w:pPr>
      <w:r>
        <w:rPr>
          <w:rFonts w:cs="Arial"/>
          <w:b/>
          <w:sz w:val="20"/>
        </w:rPr>
      </w:r>
    </w:p>
    <w:p>
      <w:pPr>
        <w:pStyle w:val="Normal"/>
        <w:rPr/>
      </w:pPr>
      <w:r>
        <w:rPr>
          <w:rFonts w:cs="Arial"/>
          <w:sz w:val="20"/>
        </w:rPr>
        <w:t>The RECLAIM program is intended to replace new source offsets for affected sources.  Sources that participate in the program theoretically do not need to acquire ERCs.  Nevertheless, there is still a market for NO</w:t>
      </w:r>
      <w:r>
        <w:rPr>
          <w:rFonts w:cs="Arial"/>
          <w:sz w:val="20"/>
          <w:vertAlign w:val="subscript"/>
        </w:rPr>
        <w:t>x</w:t>
      </w:r>
      <w:r>
        <w:rPr>
          <w:rFonts w:cs="Arial"/>
          <w:sz w:val="20"/>
        </w:rPr>
        <w:t xml:space="preserve"> ERCs in the SCAQMD.  In part, this is to address those sources that are exempt from RECLAIM.  </w:t>
      </w:r>
    </w:p>
    <w:p>
      <w:pPr>
        <w:pStyle w:val="Normal"/>
        <w:rPr>
          <w:rFonts w:cs="Arial"/>
          <w:sz w:val="20"/>
        </w:rPr>
      </w:pPr>
      <w:r>
        <w:rPr>
          <w:rFonts w:cs="Arial"/>
          <w:sz w:val="20"/>
        </w:rPr>
      </w:r>
    </w:p>
    <w:p>
      <w:pPr>
        <w:pStyle w:val="Normal"/>
        <w:rPr>
          <w:rFonts w:cs="Arial"/>
          <w:sz w:val="20"/>
        </w:rPr>
      </w:pPr>
      <w:r>
        <w:rPr>
          <w:rFonts w:cs="Arial"/>
          <w:sz w:val="20"/>
        </w:rPr>
        <w:t>There is, however, another market that provides a potential alternative source of RTCs.  Under RECLAIM, a new source is required to acquire RTCs sufficient to cover its first year emissions prior to receiving its permit.  However, the source will not actually get into the program until its first year emissions have been measured and reviewed to determine if they exceed the 4 ton threshold and various papers are completed.  This process will take more than a year.</w:t>
      </w:r>
    </w:p>
    <w:p>
      <w:pPr>
        <w:pStyle w:val="Normal"/>
        <w:rPr>
          <w:rFonts w:cs="Arial"/>
          <w:sz w:val="20"/>
        </w:rPr>
      </w:pPr>
      <w:r>
        <w:rPr>
          <w:rFonts w:cs="Arial"/>
          <w:sz w:val="20"/>
        </w:rPr>
      </w:r>
    </w:p>
    <w:p>
      <w:pPr>
        <w:pStyle w:val="Normal"/>
        <w:rPr>
          <w:rFonts w:cs="Arial"/>
          <w:sz w:val="20"/>
        </w:rPr>
      </w:pPr>
      <w:r>
        <w:rPr>
          <w:rFonts w:cs="Arial"/>
          <w:sz w:val="20"/>
        </w:rPr>
        <w:t>A source can choose to delay acquiring the RTCs and join the RECLAIM program only after its first full year of operation, when it has confirmed that its emissions will be greater than 4 tons.  However, if a new source has potential emissions greater than 4 tons and does not join RECLAIM and acquire allowances prior to permitting, the regulators will require it to acquire ERCs instead.  That is, since the source has not yet become part of RECLAIM, it must have offsets.</w:t>
      </w:r>
    </w:p>
    <w:p>
      <w:pPr>
        <w:pStyle w:val="Normal"/>
        <w:rPr>
          <w:rFonts w:cs="Arial"/>
          <w:sz w:val="20"/>
        </w:rPr>
      </w:pPr>
      <w:r>
        <w:rPr>
          <w:rFonts w:cs="Arial"/>
          <w:sz w:val="20"/>
        </w:rPr>
      </w:r>
    </w:p>
    <w:p>
      <w:pPr>
        <w:pStyle w:val="Normal"/>
        <w:rPr>
          <w:rFonts w:cs="Arial"/>
          <w:sz w:val="20"/>
        </w:rPr>
      </w:pPr>
      <w:r>
        <w:rPr>
          <w:rFonts w:cs="Arial"/>
          <w:sz w:val="20"/>
        </w:rPr>
        <w:t>If the source is initially permitted outside of RECLAIM with offsets, then enters RECLAIM and begins covering its emissions with RTCs then the ERCs will be redundant.  The ERCs can be converted into a stream of RTCs once the source is in the program.  Only ERCs equal to the permitted potential emissions can be converted into RTCs.  The extra 20 percent required for the 1.2:1 offsetting will not be converted.  Also, the converted amount will be devalued by 28 percent over the first three years of use to simulate the reduction in original allocations to native RECLAIM sources.  The conversion can only be done for sources using ERCs as offsets for permitting.  You cannot purchase ERCs and convert them to RTCs simply to sell them, but excess RTCs from a permitted facility can be sold.  Finally, if a source has received the "free" 4 tons of ERCs from the District, those tons cannot be converted into RTCs.</w:t>
      </w:r>
    </w:p>
    <w:p>
      <w:pPr>
        <w:pStyle w:val="Normal"/>
        <w:rPr>
          <w:rFonts w:cs="Arial"/>
          <w:sz w:val="20"/>
        </w:rPr>
      </w:pPr>
      <w:r>
        <w:rPr>
          <w:rFonts w:cs="Arial"/>
          <w:sz w:val="20"/>
        </w:rPr>
      </w:r>
    </w:p>
    <w:p>
      <w:pPr>
        <w:pStyle w:val="Normal"/>
        <w:rPr>
          <w:rFonts w:cs="Arial"/>
          <w:sz w:val="20"/>
        </w:rPr>
      </w:pPr>
      <w:r>
        <w:rPr>
          <w:rFonts w:cs="Arial"/>
          <w:sz w:val="20"/>
        </w:rPr>
        <w:t>This system provides an alternative source of RTCs and links the markets for RTCs and ERCs.  This provides alternatives for those permitting projects.  However, the limitation on conversions to actual projects reduces the opportunity for arbitraging of the prices.</w:t>
      </w:r>
    </w:p>
    <w:p>
      <w:pPr>
        <w:pStyle w:val="Normal"/>
        <w:rPr>
          <w:rFonts w:cs="Arial"/>
          <w:sz w:val="20"/>
        </w:rPr>
      </w:pPr>
      <w:r>
        <w:rPr>
          <w:rFonts w:cs="Arial"/>
          <w:sz w:val="20"/>
        </w:rPr>
      </w:r>
    </w:p>
    <w:p>
      <w:pPr>
        <w:pStyle w:val="Normal"/>
        <w:rPr>
          <w:rFonts w:cs="Arial"/>
          <w:sz w:val="20"/>
        </w:rPr>
      </w:pPr>
      <w:r>
        <w:rPr>
          <w:rFonts w:cs="Arial"/>
          <w:sz w:val="20"/>
        </w:rPr>
        <w:t>In conclusion:</w:t>
      </w:r>
    </w:p>
    <w:p>
      <w:pPr>
        <w:pStyle w:val="Normal"/>
        <w:rPr>
          <w:rFonts w:cs="Arial"/>
          <w:sz w:val="20"/>
        </w:rPr>
      </w:pPr>
      <w:r>
        <w:rPr>
          <w:rFonts w:cs="Arial"/>
          <w:sz w:val="20"/>
        </w:rPr>
      </w:r>
    </w:p>
    <w:p>
      <w:pPr>
        <w:pStyle w:val="Bullet1"/>
        <w:numPr>
          <w:ilvl w:val="0"/>
          <w:numId w:val="2"/>
        </w:numPr>
        <w:rPr>
          <w:rFonts w:ascii="Arial" w:hAnsi="Arial" w:cs="Arial"/>
          <w:sz w:val="20"/>
        </w:rPr>
      </w:pPr>
      <w:r>
        <w:rPr>
          <w:rFonts w:cs="Arial" w:ascii="Arial" w:hAnsi="Arial"/>
          <w:sz w:val="20"/>
        </w:rPr>
        <w:t>A very small unit that has a potential to emit less than 4 tpy of NO</w:t>
      </w:r>
      <w:r>
        <w:rPr>
          <w:rFonts w:cs="Arial" w:ascii="Arial" w:hAnsi="Arial"/>
          <w:sz w:val="20"/>
          <w:vertAlign w:val="subscript"/>
        </w:rPr>
        <w:t>x</w:t>
      </w:r>
      <w:r>
        <w:rPr>
          <w:rFonts w:cs="Arial" w:ascii="Arial" w:hAnsi="Arial"/>
          <w:sz w:val="20"/>
        </w:rPr>
        <w:t xml:space="preserve"> at a brand new location doesn't have to purchase any offsets or RTCs.  </w:t>
      </w:r>
    </w:p>
    <w:p>
      <w:pPr>
        <w:pStyle w:val="Bullet1"/>
        <w:numPr>
          <w:ilvl w:val="0"/>
          <w:numId w:val="2"/>
        </w:numPr>
        <w:rPr>
          <w:rFonts w:ascii="Arial" w:hAnsi="Arial" w:cs="Arial"/>
          <w:sz w:val="20"/>
        </w:rPr>
      </w:pPr>
      <w:r>
        <w:rPr>
          <w:rFonts w:cs="Arial" w:ascii="Arial" w:hAnsi="Arial"/>
          <w:sz w:val="20"/>
        </w:rPr>
        <w:t xml:space="preserve">A unit that could emit more than 4 tpy must buy enough ERCs to cover its potential to emit.  The only way to avoid this is by joining RECLAIM from the start and acquiring RTCs in advance.  </w:t>
      </w:r>
    </w:p>
    <w:p>
      <w:pPr>
        <w:pStyle w:val="Bullet1"/>
        <w:numPr>
          <w:ilvl w:val="0"/>
          <w:numId w:val="2"/>
        </w:numPr>
        <w:rPr/>
      </w:pPr>
      <w:r>
        <w:rPr>
          <w:rFonts w:cs="Arial" w:ascii="Arial" w:hAnsi="Arial"/>
          <w:sz w:val="20"/>
        </w:rPr>
        <w:t>If a unit with potential greater than 4 tpy acquires ERCs and then enters the RECLAIM program, the ERCs can be converted to RTCs subject to the limits listed above.</w:t>
      </w:r>
    </w:p>
    <w:p>
      <w:pPr>
        <w:pStyle w:val="CopyList"/>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eeaopen">
    <w:name w:val="eea open"/>
    <w:basedOn w:val="Normal"/>
    <w:qFormat/>
    <w:pPr>
      <w:tabs>
        <w:tab w:val="clear" w:pos="540"/>
      </w:tabs>
      <w:overflowPunct w:val="true"/>
      <w:autoSpaceDE w:val="true"/>
      <w:textAlignment w:val="auto"/>
    </w:pPr>
    <w:rPr>
      <w:rFonts w:ascii="Times New Roman" w:hAnsi="Times New Roman" w:cs="Times New Roman"/>
    </w:rPr>
  </w:style>
  <w:style w:type="paragraph" w:styleId="Bullet1">
    <w:name w:val="Bullet #1"/>
    <w:basedOn w:val="Normal"/>
    <w:qFormat/>
    <w:pPr>
      <w:numPr>
        <w:ilvl w:val="0"/>
        <w:numId w:val="3"/>
      </w:numPr>
      <w:tabs>
        <w:tab w:val="clear" w:pos="540"/>
      </w:tabs>
      <w:overflowPunct w:val="true"/>
      <w:autoSpaceDE w:val="true"/>
      <w:spacing w:before="0" w:after="120"/>
      <w:ind w:hanging="360" w:start="720" w:end="0"/>
      <w:textAlignment w:val="auto"/>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2001-10-24T14:14:00Z</dcterms:created>
  <dc:creator>Mary Schoen</dc:creator>
  <dc:description/>
  <dc:language>en-CA</dc:language>
  <cp:lastModifiedBy>Mary Schoen</cp:lastModifiedBy>
  <dcterms:modified xsi:type="dcterms:W3CDTF">2001-10-24T14:28:00Z</dcterms:modified>
  <cp:revision>3</cp:revision>
  <dc:subject/>
  <dc:title>Better, Faster, Simpler Memo </dc:title>
</cp:coreProperties>
</file>