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z w:val="26"/>
          <w:szCs w:val="26"/>
        </w:rPr>
      </w:pPr>
      <w:r>
        <w:rPr>
          <w:b/>
          <w:bCs/>
          <w:sz w:val="26"/>
          <w:szCs w:val="26"/>
        </w:rPr>
        <w:t>UNITED STATES OF AMERICA</w:t>
      </w:r>
    </w:p>
    <w:p>
      <w:pPr>
        <w:pStyle w:val="Normal"/>
        <w:widowControl/>
        <w:jc w:val="center"/>
        <w:rPr>
          <w:b/>
          <w:bCs/>
          <w:sz w:val="26"/>
          <w:szCs w:val="26"/>
        </w:rPr>
      </w:pPr>
      <w:r>
        <w:rPr>
          <w:b/>
          <w:bCs/>
          <w:sz w:val="26"/>
          <w:szCs w:val="26"/>
        </w:rPr>
        <w:t>FEDERAL ENERGY REGULATORY COMMISSION</w:t>
      </w:r>
    </w:p>
    <w:p>
      <w:pPr>
        <w:pStyle w:val="Normal"/>
        <w:widowControl/>
        <w:rPr>
          <w:b/>
          <w:bCs/>
          <w:sz w:val="26"/>
          <w:szCs w:val="26"/>
        </w:rPr>
      </w:pPr>
      <w:r>
        <w:rPr>
          <w:b/>
          <w:bCs/>
          <w:sz w:val="26"/>
          <w:szCs w:val="26"/>
        </w:rPr>
      </w:r>
    </w:p>
    <w:p>
      <w:pPr>
        <w:pStyle w:val="Normal"/>
        <w:widowControl/>
        <w:rPr>
          <w:b/>
          <w:bCs/>
          <w:sz w:val="26"/>
          <w:szCs w:val="26"/>
        </w:rPr>
      </w:pPr>
      <w:r>
        <w:rPr>
          <w:b/>
          <w:bCs/>
          <w:sz w:val="26"/>
          <w:szCs w:val="26"/>
        </w:rPr>
      </w:r>
    </w:p>
    <w:p>
      <w:pPr>
        <w:pStyle w:val="Normal"/>
        <w:widowControl/>
        <w:tabs>
          <w:tab w:val="clear" w:pos="720"/>
          <w:tab w:val="left" w:pos="-1440" w:leader="none"/>
        </w:tabs>
        <w:ind w:hanging="5760" w:start="5760" w:end="0"/>
        <w:rPr>
          <w:b/>
          <w:bCs/>
          <w:sz w:val="26"/>
          <w:szCs w:val="26"/>
        </w:rPr>
      </w:pPr>
      <w:r>
        <w:rPr>
          <w:b/>
          <w:bCs/>
          <w:sz w:val="26"/>
          <w:szCs w:val="26"/>
        </w:rPr>
        <w:t>Regional Transmission Organizations</w:t>
        <w:tab/>
        <w:tab/>
        <w:tab/>
        <w:t xml:space="preserve">          Docket No. RT01-100-000</w:t>
      </w:r>
    </w:p>
    <w:p>
      <w:pPr>
        <w:pStyle w:val="Normal"/>
        <w:widowControl/>
        <w:rPr>
          <w:b/>
          <w:bCs/>
          <w:sz w:val="26"/>
          <w:szCs w:val="26"/>
        </w:rPr>
      </w:pPr>
      <w:r>
        <w:rPr>
          <w:b/>
          <w:bCs/>
          <w:sz w:val="26"/>
          <w:szCs w:val="26"/>
        </w:rPr>
      </w:r>
    </w:p>
    <w:p>
      <w:pPr>
        <w:pStyle w:val="Normal"/>
        <w:widowControl/>
        <w:ind w:firstLine="2160" w:end="0"/>
        <w:rPr>
          <w:b/>
          <w:bCs/>
          <w:sz w:val="26"/>
          <w:szCs w:val="26"/>
        </w:rPr>
      </w:pPr>
      <w:r>
        <w:rPr>
          <w:b/>
          <w:bCs/>
          <w:sz w:val="26"/>
          <w:szCs w:val="26"/>
        </w:rPr>
      </w:r>
    </w:p>
    <w:p>
      <w:pPr>
        <w:pStyle w:val="Normal"/>
        <w:widowControl/>
        <w:jc w:val="center"/>
        <w:rPr>
          <w:b/>
          <w:bCs/>
          <w:sz w:val="26"/>
          <w:szCs w:val="26"/>
        </w:rPr>
      </w:pPr>
      <w:r>
        <w:rPr>
          <w:b/>
          <w:bCs/>
          <w:sz w:val="26"/>
          <w:szCs w:val="26"/>
        </w:rPr>
        <w:t xml:space="preserve">ORDER OF ADMINISTRATIVE LAW JUDGE SCHEDULING </w:t>
      </w:r>
    </w:p>
    <w:p>
      <w:pPr>
        <w:pStyle w:val="Normal"/>
        <w:widowControl/>
        <w:jc w:val="center"/>
        <w:rPr>
          <w:b/>
          <w:bCs/>
          <w:sz w:val="26"/>
          <w:szCs w:val="26"/>
        </w:rPr>
      </w:pPr>
      <w:r>
        <w:rPr>
          <w:b/>
          <w:bCs/>
          <w:sz w:val="26"/>
          <w:szCs w:val="26"/>
        </w:rPr>
        <w:t>SETTLEMENT CONFERENCE</w:t>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t>(Issued July 13, 2001)</w:t>
      </w:r>
    </w:p>
    <w:p>
      <w:pPr>
        <w:pStyle w:val="Normal"/>
        <w:widowControl/>
        <w:rPr>
          <w:b/>
          <w:bCs/>
          <w:sz w:val="26"/>
          <w:szCs w:val="26"/>
        </w:rPr>
      </w:pPr>
      <w:r>
        <w:rPr>
          <w:b/>
          <w:bCs/>
          <w:sz w:val="26"/>
          <w:szCs w:val="26"/>
        </w:rPr>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Pursuant to the Commission's Order issued on July 12, 2001, a settlement conference will be convened by Administrative Law Judge Bobbie J. McCartney, serving in the capacity of mediator in this proceeding beginning at 10 A.M. on July 17, 2001, in Hearing Room 1 of the Federal Energy Regulatory Commission, 888 First Street, NE, Washington, DC.  In accordance with the Commission's Order, all parties in Docket Nos. RT01-34-000 (Southwest Power Pool or SPP), RT01-74-000 (GridSouth), RT01-75-000 (Entergy), and RT-77-000 (Southern) are directed to participate in this settlement proceeding and are directed to have persons present with authority to act with respect to all  matters to be addressed. In addition, the parties in Docket No. RT01-67-000 (GridFlorida LLC) are encouraged to participate. Further, the state commissions, TVA, Santee Cooper, and the Southeastern Power Administration (SEPA) are urged to be present and to engage as full participates in this settlement proceeding as their full participation is a very important element in fashioning an organization that will ensure adequate supplies of electricity at reasonable rates to meet the needs of the economy and the consuming public.  </w:t>
        <w:tab/>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All parties are directed to prepare, and to share with all other parties in attendance, a statement of key issues to be addressed, as well as suggested milestones and  procedural schedules, for meeting the Commission's time frame for these settlement discussions.  </w:t>
      </w:r>
    </w:p>
    <w:p>
      <w:pPr>
        <w:pStyle w:val="Normal"/>
        <w:widowControl/>
        <w:rPr>
          <w:sz w:val="26"/>
          <w:szCs w:val="26"/>
        </w:rPr>
      </w:pPr>
      <w:r>
        <w:rPr>
          <w:sz w:val="26"/>
          <w:szCs w:val="26"/>
        </w:rPr>
      </w:r>
    </w:p>
    <w:p>
      <w:pPr>
        <w:pStyle w:val="Normal"/>
        <w:widowControl/>
        <w:ind w:firstLine="720" w:end="0"/>
        <w:rPr/>
      </w:pPr>
      <w:r>
        <w:rPr>
          <w:sz w:val="26"/>
          <w:szCs w:val="26"/>
        </w:rPr>
        <w:t xml:space="preserve">In my capacity as mediator, I will be happy to communicate in private with any parties prior to the meeting, either in person, by telephone at 202/219-2534, or by email at </w:t>
      </w:r>
      <w:r>
        <w:rPr>
          <w:rStyle w:val="Hypertext"/>
          <w:sz w:val="26"/>
          <w:szCs w:val="26"/>
        </w:rPr>
        <w:t>Bobbie.McCartney@ferc.fed.us</w:t>
      </w:r>
      <w:r>
        <w:rPr>
          <w:sz w:val="26"/>
          <w:szCs w:val="26"/>
        </w:rPr>
        <w:t>. Further, the parties should feel free to meet among themselves as necessary and appropriate to facilitate the productiveness of this settlement proceeding.</w:t>
      </w:r>
    </w:p>
    <w:p>
      <w:pPr>
        <w:pStyle w:val="Normal"/>
        <w:widowControl/>
        <w:ind w:firstLine="7200" w:end="0"/>
        <w:rPr>
          <w:sz w:val="26"/>
          <w:szCs w:val="26"/>
        </w:rPr>
      </w:pPr>
      <w:r>
        <w:rPr>
          <w:sz w:val="26"/>
          <w:szCs w:val="26"/>
        </w:rPr>
      </w:r>
    </w:p>
    <w:p>
      <w:pPr>
        <w:pStyle w:val="Normal"/>
        <w:widowControl/>
        <w:ind w:firstLine="2880" w:end="0"/>
        <w:rPr>
          <w:sz w:val="26"/>
          <w:szCs w:val="26"/>
        </w:rPr>
      </w:pPr>
      <w:r>
        <w:rPr>
          <w:sz w:val="26"/>
          <w:szCs w:val="26"/>
        </w:rPr>
      </w:r>
    </w:p>
    <w:p>
      <w:pPr>
        <w:pStyle w:val="Normal"/>
        <w:widowControl/>
        <w:jc w:val="center"/>
        <w:rPr>
          <w:b/>
          <w:bCs/>
          <w:sz w:val="26"/>
          <w:szCs w:val="26"/>
        </w:rPr>
      </w:pPr>
      <w:r>
        <w:rPr>
          <w:b/>
          <w:bCs/>
          <w:sz w:val="26"/>
          <w:szCs w:val="26"/>
        </w:rPr>
        <w:t>Bobbie J. McCartney</w:t>
      </w:r>
    </w:p>
    <w:p>
      <w:pPr>
        <w:pStyle w:val="Normal"/>
        <w:widowControl/>
        <w:jc w:val="center"/>
        <w:rPr/>
      </w:pPr>
      <w:r>
        <w:rPr/>
        <w:t>Administrative Law Judge</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sz w:val="26"/>
          <w:szCs w:val="26"/>
        </w:rPr>
      </w:pPr>
      <w:r>
        <w:rPr>
          <w:sz w:val="26"/>
          <w:szCs w:val="26"/>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2001-07-13T11:40:00Z</dcterms:created>
  <dc:creator>llawrenc</dc:creator>
  <dc:description/>
  <dc:language>en-CA</dc:language>
  <cp:lastModifiedBy>llawrenc</cp:lastModifiedBy>
  <dcterms:modified xsi:type="dcterms:W3CDTF">2001-07-13T11:40:00Z</dcterms:modified>
  <cp:revision>2</cp:revision>
  <dc:subject/>
  <dc:title>UNITED STATES OF AMERICA</dc:title>
</cp:coreProperties>
</file>