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PG&amp;E’S OBLIGATION TO REMIT TO DWR</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sectPr>
        <w:pStyle w:val="CoverTitle"/>
        <w:widowControl/>
        <w:bidi w:val="0"/>
        <w:spacing w:lineRule="exact" w:line="560" w:before="3000" w:after="0"/>
        <w:jc w:val="center"/>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pg&amp;e’S OBLIGATION TO REMIT TO DWR</w:t>
        <w:br/>
        <w:br/>
        <w:t>TABLE OF CONTENTS</w:t>
      </w:r>
    </w:p>
    <w:sdt>
      <w:sdtPr>
        <w:docPartObj>
          <w:docPartGallery w:val="Table of Contents"/>
          <w:docPartUnique w:val="true"/>
        </w:docPartObj>
      </w:sdtPr>
      <w:sdtContent>
        <w:p>
          <w:pPr>
            <w:pStyle w:val="Normal"/>
            <w:rPr>
              <w:b/>
              <w:bCs/>
              <w:lang w:val="en-CA"/>
            </w:rPr>
          </w:pPr>
          <w:r>
            <w:fldChar w:fldCharType="begin"/>
          </w:r>
          <w:r>
            <w:rPr>
              <w:b/>
              <w:bCs/>
              <w:lang w:val="en-CA"/>
            </w:rPr>
            <w:instrText xml:space="preserve"> TOC \o "1-4" \s chap </w:instrText>
          </w:r>
          <w:r>
            <w:rPr>
              <w:b/>
              <w:bCs/>
              <w:lang w:val="en-CA"/>
            </w:rPr>
            <w:fldChar w:fldCharType="separate"/>
          </w:r>
          <w:r>
            <w:rPr>
              <w:b/>
              <w:bCs/>
              <w:lang w:val="en-CA"/>
            </w:rPr>
            <w:t>Error! No table of contents entries found.</w:t>
          </w:r>
          <w:r>
            <w:rPr>
              <w:b/>
              <w:bCs/>
              <w:lang w:val="en-CA"/>
            </w:rPr>
            <w:fldChar w:fldCharType="end"/>
          </w:r>
        </w:p>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sectPr>
          </w:pPr>
        </w:p>
      </w:sdtContent>
    </w:sdt>
    <w:p>
      <w:pPr>
        <w:pStyle w:val="TITLE1"/>
        <w:rPr/>
      </w:pPr>
      <w:r>
        <w:rPr/>
        <w:t>PACIFIC GAS AND ELECTRIC COMPANY</w:t>
      </w:r>
    </w:p>
    <w:p>
      <w:pPr>
        <w:pStyle w:val="TITLE2"/>
        <w:rPr/>
      </w:pPr>
      <w:r>
        <w:rPr/>
        <w:t xml:space="preserve">CHAPTER </w:t>
      </w:r>
      <w:r>
        <w:rPr/>
        <w:fldChar w:fldCharType="begin"/>
      </w:r>
      <w:r>
        <w:rPr/>
        <w:instrText xml:space="preserve"> SEQ chap \* ARABIC </w:instrText>
      </w:r>
      <w:r>
        <w:rPr/>
        <w:fldChar w:fldCharType="separate"/>
      </w:r>
      <w:r>
        <w:rPr/>
        <w:t>1</w:t>
      </w:r>
      <w:r>
        <w:rPr/>
        <w:fldChar w:fldCharType="end"/>
      </w:r>
    </w:p>
    <w:p>
      <w:pPr>
        <w:pStyle w:val="TITLE3"/>
        <w:rPr/>
      </w:pPr>
      <w:r>
        <w:rPr/>
        <w:t>PG&amp;E’S OBLIGATION TO REMIT TO DWR</w:t>
      </w:r>
    </w:p>
    <w:p>
      <w:pPr>
        <w:pStyle w:val="Body0"/>
        <w:rPr/>
      </w:pPr>
      <w:r>
        <w:rPr/>
        <w:t>This testimony explains why the Commission’s decisions in this proceeding should be interpreted to require PG&amp;E to pay the Department of Water Resources (DWR) only the amounts of money that are contained in the generation rate component being collected in rates at any given time, and should not be required to make payments based on a generation rate component not yet being collected in rates.  PG&amp;E believes Decision (D.) 01-03-081 intended the 3 cent per kWh rate ordered there to go into effect immediately, despite the fact that rate design must follow.</w:t>
      </w:r>
    </w:p>
    <w:p>
      <w:pPr>
        <w:pStyle w:val="Body0"/>
        <w:rPr/>
      </w:pPr>
      <w:r>
        <w:rPr/>
        <w:t>PG&amp;E also understands Decision 01-03-081 and Decision 01-03-082 to require PG&amp;E to remit to DWR a dollar amount equal to the number of kilowatt-hours (kWh) DWR provided to PG&amp;E’s customers 45 days earlier times PG&amp;E’s company-wide generation-related rate in effect 45 days earlier.</w:t>
      </w:r>
      <w:r>
        <w:rPr>
          <w:b/>
          <w:bCs/>
          <w:position w:val="6"/>
        </w:rPr>
        <w:t>[</w:t>
      </w:r>
      <w:r>
        <w:rPr>
          <w:rStyle w:val="FootnoteCharacters"/>
          <w:rStyle w:val="FootnoteReference"/>
        </w:rPr>
        <w:footnoteReference w:id="2"/>
      </w:r>
      <w:r>
        <w:rPr>
          <w:b/>
          <w:bCs/>
          <w:position w:val="6"/>
        </w:rPr>
        <w:t>]</w:t>
      </w:r>
      <w:r>
        <w:rPr/>
        <w:t xml:space="preserve">  For example, the dollar amount PG&amp;E is required to remit to DWR on April 13, 2001, is equal to the number of kWh DWR provided to PG&amp;E’s customers on February 27, 2001, times PG&amp;E’s company-wide generation-related rate in effect on February 27, 2001.  Since PG&amp;E’s company-wide generation-related rate in effect on February 27, 2001, was 6.471 cents per kWh, if the number of kWh DWR provided to PG&amp;E’s customers on February 27, 2001, was 100 million kWh, then the dollar amount PG&amp;E is required to remit to DWR on April 13, 2001, is $6,741,000.</w:t>
      </w:r>
    </w:p>
    <w:p>
      <w:pPr>
        <w:pStyle w:val="Body0"/>
        <w:rPr/>
      </w:pPr>
      <w:r>
        <w:rPr/>
        <w:t>When billing begins under schedule specific generation-related rates reflecting the average three cent per kWh increase, PG&amp;E will be required to multiply the number of kWh DWR provided to PG&amp;E’s customers on a certain day times the generation-related rates</w:t>
      </w:r>
      <w:r>
        <w:rPr>
          <w:b/>
          <w:bCs/>
          <w:position w:val="6"/>
        </w:rPr>
        <w:t>[</w:t>
      </w:r>
      <w:r>
        <w:rPr>
          <w:rStyle w:val="FootnoteCharacters"/>
          <w:rStyle w:val="FootnoteReference"/>
        </w:rPr>
        <w:footnoteReference w:id="3"/>
      </w:r>
      <w:r>
        <w:rPr>
          <w:b/>
          <w:bCs/>
          <w:position w:val="6"/>
        </w:rPr>
        <w:t>]</w:t>
      </w:r>
      <w:r>
        <w:rPr/>
        <w:t xml:space="preserve"> in effect on that day and to remit that dollar amount to DWR 45 days later.</w:t>
      </w:r>
    </w:p>
    <w:p>
      <w:pPr>
        <w:pStyle w:val="Body0"/>
        <w:rPr/>
      </w:pPr>
      <w:r>
        <w:rPr/>
        <w:t>Therefore, if, as PG&amp;E proposes, billing under schedule specific generation-related rates begins June 1, 2001, and the new company-wide generation-related rate is 3.8 cents higher (3 cents plus a 12-month amortization of the March 28 through May 31 undercollection of the 3-cent surcharge, the dollar amount PG&amp;E is required to remit to DWR on July 15, 2001, would be equal to the number of kWh DWR provided to PG&amp;E’s customers on June 1, 2001, times PG&amp;E’s company-wide generation-related rate in effect on June 1, 2001.  Since PG&amp;E’s company-wide generation-related rate in effect on June 1, 2001, would be 10.271 cents per kWh (6.471 + 3.8 = 10.271), if the number of kWh DWR provides to PG&amp;E’s customers on June 1, 2001, is 100 million kWh, then the dollar amount PG&amp;E is required to remit to DWR on July 15, 2001, would be $10,271,000.</w:t>
      </w:r>
    </w:p>
    <w:p>
      <w:pPr>
        <w:pStyle w:val="Body0"/>
        <w:rPr/>
      </w:pPr>
      <w:r>
        <w:rPr/>
        <w:t>This approach, applying as it does both before and after billing under schedule specific generation-related rates begins, ensures that PG&amp;E is not required to pay to DWR money that is not being collected in rates.  It also ensures that DWR will receive the 3-cent surcharge amounts for the period from March 28, 2001, to the date billing under schedule specific generation-related rates begins.</w:t>
      </w:r>
    </w:p>
    <w:p>
      <w:pPr>
        <w:pStyle w:val="Body0"/>
        <w:rPr/>
      </w:pPr>
      <w:r>
        <w:rPr/>
        <w:t xml:space="preserve">The Commission has concluded, “It is unreasonable for utilities to retain the revenue generated from DWR purchases of electricity that is sold to the utilities’ retail end use customers, even though they are in financial distress.”  (D.01-03-081, Conclusion of Law 8.)  Likewise, it is unreasonable for utilities to be required to pay to DWR </w:t>
      </w:r>
      <w:r>
        <w:rPr>
          <w:i/>
          <w:iCs/>
        </w:rPr>
        <w:t>more</w:t>
      </w:r>
      <w:r>
        <w:rPr/>
        <w:t xml:space="preserve"> money than the revenue generated from DWR purchases of electricity that is sold to PG&amp;E’s retail end use customers, </w:t>
      </w:r>
      <w:r>
        <w:rPr>
          <w:i/>
          <w:iCs/>
        </w:rPr>
        <w:t>especially</w:t>
      </w:r>
      <w:r>
        <w:rPr/>
        <w:t xml:space="preserve"> while PG&amp;E is in financial distress.</w:t>
      </w:r>
    </w:p>
    <w:p>
      <w:pPr>
        <w:pStyle w:val="Body0"/>
        <w:rPr/>
      </w:pPr>
      <w:r>
        <w:rPr/>
        <w:t>In the event the Commission concludes PG&amp;E has misunderstood Decision 01</w:t>
        <w:noBreakHyphen/>
        <w:t>03</w:t>
        <w:noBreakHyphen/>
        <w:t>081 and Decision 01</w:t>
        <w:noBreakHyphen/>
        <w:t>03</w:t>
        <w:noBreakHyphen/>
        <w:t>082 in regard to the calculation of payments to be made to DWR, PG&amp;E believes the Commission should ensure that the calculation adopted by the Commission should not require PG&amp;E to pay to DWR money that is not being collected in rates.</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1</w:t>
    </w:r>
    <w:r>
      <w:rPr/>
      <w:fldChar w:fldCharType="end"/>
    </w:r>
    <w:r>
      <w:rPr/>
      <w:t>-</w:t>
    </w:r>
    <w:r>
      <w:rPr/>
      <w:fldChar w:fldCharType="begin"/>
    </w:r>
    <w:r>
      <w:rPr/>
      <w:instrText xml:space="preserve"> PAGE </w:instrText>
    </w:r>
    <w:r>
      <w:rPr/>
      <w:fldChar w:fldCharType="separate"/>
    </w:r>
    <w:r>
      <w:rPr/>
      <w:t>i</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b/>
        <w:bCs/>
      </w:rPr>
      <w:fldChar w:fldCharType="begin"/>
    </w:r>
    <w:r>
      <w:rPr>
        <w:b/>
        <w:bCs/>
      </w:rPr>
      <w:instrText xml:space="preserve"> SEQ chap \* ARABIC </w:instrText>
    </w:r>
    <w:r>
      <w:rPr>
        <w:b/>
        <w:bCs/>
      </w:rPr>
      <w:fldChar w:fldCharType="separate"/>
    </w:r>
    <w:r>
      <w:rPr>
        <w:b/>
        <w:bCs/>
      </w:rPr>
      <w:t>1</w:t>
    </w:r>
    <w:r>
      <w:rPr>
        <w:b/>
        <w:bCs/>
      </w:rPr>
      <w:fldChar w:fldCharType="end"/>
    </w:r>
    <w:r>
      <w:rPr/>
      <w:t>-</w:t>
    </w:r>
    <w:r>
      <w:rPr/>
      <w:fldChar w:fldCharType="begin"/>
    </w:r>
    <w:r>
      <w:rPr/>
      <w:instrText xml:space="preserve"> PAGE </w:instrText>
    </w:r>
    <w:r>
      <w:rPr/>
      <w:fldChar w:fldCharType="separate"/>
    </w:r>
    <w:r>
      <w:rPr/>
      <w:t>3</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r>
      <w:r>
        <w:rPr>
          <w:rStyle w:val="FootnoteCharacters"/>
          <w:b w:val="false"/>
          <w:bCs w:val="false"/>
          <w:color w:val="000000"/>
          <w:position w:val="0"/>
          <w:sz w:val="24"/>
          <w:vertAlign w:val="baseline"/>
        </w:rPr>
        <w:t>In</w:t>
      </w:r>
      <w:r>
        <w:rPr/>
        <w:t xml:space="preserve"> Ordering Paragraph 1 of Decision 01-03-082, the Commission approves a rate surcharge of three cents per kilowatt-hour (kWh) for power costs incurred after March 27, 2001, and orders that PG&amp;E “shall provide revenues from the generation-related rates and the three-cent surcharge to the DWR immediately, consistent with D.01-03-081.”  In Ordering Paragraph 1, the Commission states the company-wide average generation-related rate for PG&amp;E is 6.471 cents per kWh, and in Ordering Paragraph 2 of the same decision the Commission orders that “[u]ntil such time as billing begins under schedule specific generation-related rates,” PG&amp;E “must use the company-wide average generation-related rates established in Ordering Paragraph 1 of this decision for determining the sums [PG&amp;E] must transfer to DWR….”  Conclusion of Law 9 in Decision 01-03-081 states in pertinent part that “until such time as schedule specific generation-related rates are calculated:  No later than forty-five days after DWR supplies power to the utilities’ retail end use customers the utility should remit to DWR an amount equal to the product of the number of kilowatt-hours that DWR provided 45-days earlier and the company-wide generation-related rate.”</w:t>
      </w:r>
    </w:p>
  </w:footnote>
  <w:footnote w:id="3">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It is not clear to PG&amp;E whether the Commission’s decisions intended that after billing begins under schedule specific generation-related rates the DWR kWh amounts (a) be multiplied times the new, higher company-wide average generation-related rate for PG&amp;E or (b) be allocated among the schedules and multiplied times the new, higher schedule specific generation-related rates.  PG&amp;E believes the former calculation is far simpler and no less fair than the latter.  PG&amp;E further believes the Commission should state in this rate design phase decision which calculation applies, and if the latter, should specify how the calculation is to be made.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spacing w:before="60" w:after="0"/>
      <w:ind w:hanging="432" w:start="1728" w:end="0"/>
      <w:outlineLvl w:val="2"/>
    </w:pPr>
    <w:rPr>
      <w:sz w:val="23"/>
      <w:szCs w:val="23"/>
    </w:rPr>
  </w:style>
  <w:style w:type="paragraph" w:styleId="Heading4">
    <w:name w:val="heading 4"/>
    <w:basedOn w:val="Heading3"/>
    <w:next w:val="Body4"/>
    <w:qFormat/>
    <w:pPr>
      <w:numPr>
        <w:ilvl w:val="3"/>
        <w:numId w:val="1"/>
      </w:numPr>
      <w:ind w:hanging="432" w:start="2160" w:end="0"/>
      <w:outlineLvl w:val="3"/>
    </w:pPr>
    <w:rPr/>
  </w:style>
  <w:style w:type="paragraph" w:styleId="Heading5">
    <w:name w:val="heading 5"/>
    <w:basedOn w:val="Heading4"/>
    <w:next w:val="Body5"/>
    <w:qFormat/>
    <w:pPr>
      <w:numPr>
        <w:ilvl w:val="4"/>
        <w:numId w:val="1"/>
      </w:numPr>
      <w:ind w:hanging="432" w:start="2592" w:end="0"/>
      <w:outlineLvl w:val="4"/>
    </w:pPr>
    <w:rPr/>
  </w:style>
  <w:style w:type="paragraph" w:styleId="Heading6">
    <w:name w:val="heading 6"/>
    <w:basedOn w:val="Heading5"/>
    <w:next w:val="Body6"/>
    <w:qFormat/>
    <w:pPr>
      <w:numPr>
        <w:ilvl w:val="5"/>
        <w:numId w:val="1"/>
      </w:numPr>
      <w:tabs>
        <w:tab w:val="clear" w:pos="2160"/>
      </w:tabs>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2"/>
      </w:numPr>
      <w:spacing w:before="0" w:after="120"/>
      <w:ind w:hanging="432" w:start="432" w:end="0"/>
    </w:pPr>
    <w:rPr/>
  </w:style>
  <w:style w:type="paragraph" w:styleId="Bullet1">
    <w:name w:val="Bullet 1"/>
    <w:basedOn w:val="Bullet0"/>
    <w:qFormat/>
    <w:pPr>
      <w:bidi w:val="0"/>
      <w:ind w:hanging="432" w:start="864" w:end="0"/>
    </w:pPr>
    <w:rPr/>
  </w:style>
  <w:style w:type="paragraph" w:styleId="Bullet2">
    <w:name w:val="Bullet 2"/>
    <w:basedOn w:val="Bullet1"/>
    <w:qFormat/>
    <w:pPr>
      <w:bidi w:val="0"/>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sz w:val="20"/>
      <w:szCs w:val="20"/>
    </w:rPr>
  </w:style>
  <w:style w:type="paragraph" w:styleId="Table">
    <w:name w:val="Table"/>
    <w:basedOn w:val="Body2"/>
    <w:qFormat/>
    <w:pPr>
      <w:keepNext w:val="true"/>
      <w:keepLines/>
      <w:spacing w:lineRule="auto" w:line="240"/>
      <w:ind w:hanging="0" w:start="0" w:end="0"/>
    </w:pPr>
    <w:rPr>
      <w:sz w:val="20"/>
      <w:szCs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hanging="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Arial" w:cs="Arial"/>
      <w:b/>
      <w:bCs/>
      <w:color w:val="000000"/>
      <w:spacing w:val="10"/>
      <w:sz w:val="28"/>
      <w:szCs w:val="28"/>
      <w:lang w:val="en-US" w:eastAsia="zh-CN" w:bidi="hi-IN"/>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bCs w:val="false"/>
      <w:sz w:val="24"/>
      <w:szCs w:val="24"/>
    </w:rPr>
  </w:style>
  <w:style w:type="paragraph" w:styleId="bodytext1">
    <w:name w:val="body text 1"/>
    <w:basedOn w:val="Heading1"/>
    <w:qFormat/>
    <w:pPr>
      <w:keepNext w:val="false"/>
      <w:numPr>
        <w:ilvl w:val="0"/>
        <w:numId w:val="0"/>
      </w:numPr>
      <w:tabs>
        <w:tab w:val="clear" w:pos="432"/>
        <w:tab w:val="left" w:pos="288" w:leader="none"/>
        <w:tab w:val="left" w:pos="360" w:leader="none"/>
      </w:tabs>
      <w:spacing w:lineRule="atLeast" w:line="480" w:before="0" w:after="0"/>
      <w:ind w:firstLine="432" w:start="432" w:end="0"/>
      <w:outlineLvl w:val="9"/>
    </w:pPr>
    <w:rPr>
      <w:rFonts w:ascii="Times New Roman" w:hAnsi="Times New Roman" w:eastAsia="Times New Roman" w:cs="Times New Roman"/>
      <w:b w:val="false"/>
      <w:bCs w:val="false"/>
      <w:color w:val="auto"/>
      <w:sz w:val="24"/>
      <w:szCs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Body0-list">
    <w:name w:val="Body 0 - list"/>
    <w:basedOn w:val="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szCs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WW-BodyText2">
    <w:name w:val="WW-Body Text 2"/>
    <w:basedOn w:val="bodytext1"/>
    <w:qFormat/>
    <w:pPr>
      <w:ind w:firstLine="432" w:start="864" w:end="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2001-04-13T16:40:00Z</dcterms:created>
  <dc:creator>Diana Russell</dc:creator>
  <dc:description/>
  <dc:language>en-CA</dc:language>
  <cp:lastModifiedBy>Patricia Didero</cp:lastModifiedBy>
  <cp:lastPrinted>2001-04-13T15:34:00Z</cp:lastPrinted>
  <dcterms:modified xsi:type="dcterms:W3CDTF">2001-04-13T20:06:00Z</dcterms:modified>
  <cp:revision>11</cp:revision>
  <dc:subject/>
  <dc:title> TITLE </dc:title>
</cp:coreProperties>
</file>