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media/image2.emf" ContentType="image/x-emf"/>
  <Override PartName="/word/embeddings/oleObject1.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right" w:pos="9540" w:leader="dot"/>
        </w:tabs>
        <w:ind w:end="144"/>
        <w:rPr>
          <w:rFonts w:ascii="HelveticaNeue MediumCond" w:hAnsi="HelveticaNeue MediumCond" w:eastAsia="HelveticaNeue MediumCond" w:cs="HelveticaNeue MediumCond"/>
          <w:sz w:val="20"/>
          <w:szCs w:val="20"/>
        </w:rPr>
      </w:pPr>
      <w:r>
        <w:rPr>
          <w:rFonts w:eastAsia="HelveticaNeue MediumCond" w:cs="HelveticaNeue MediumCond" w:ascii="HelveticaNeue MediumCond" w:hAnsi="HelveticaNeue MediumCond"/>
          <w:sz w:val="20"/>
          <w:szCs w:val="20"/>
        </w:rPr>
      </w:r>
    </w:p>
    <w:p>
      <w:pPr>
        <w:pStyle w:val="Header"/>
        <w:tabs>
          <w:tab w:val="clear" w:pos="4320"/>
          <w:tab w:val="clear" w:pos="8640"/>
          <w:tab w:val="right" w:pos="9540" w:leader="dot"/>
        </w:tabs>
        <w:ind w:start="90" w:end="144"/>
        <w:rPr>
          <w:rFonts w:ascii="HelveticaNeue MediumCond" w:hAnsi="HelveticaNeue MediumCond" w:eastAsia="HelveticaNeue MediumCond" w:cs="HelveticaNeue MediumCond"/>
          <w:sz w:val="20"/>
          <w:szCs w:val="20"/>
          <w:lang w:val="en-CA"/>
        </w:rPr>
      </w:pPr>
      <w:r>
        <w:rPr>
          <w:rFonts w:eastAsia="HelveticaNeue MediumCond" w:cs="HelveticaNeue MediumCond" w:ascii="HelveticaNeue MediumCond" w:hAnsi="HelveticaNeue MediumCond"/>
          <w:sz w:val="20"/>
          <w:szCs w:val="20"/>
          <w:lang w:val="en-CA"/>
        </w:rPr>
        <mc:AlternateContent>
          <mc:Choice Requires="wps">
            <w:drawing>
              <wp:anchor behindDoc="0" distT="0" distB="0" distL="0" distR="0" simplePos="0" locked="0" layoutInCell="1" allowOverlap="1" relativeHeight="4">
                <wp:simplePos x="0" y="0"/>
                <wp:positionH relativeFrom="column">
                  <wp:posOffset>28575</wp:posOffset>
                </wp:positionH>
                <wp:positionV relativeFrom="margin">
                  <wp:posOffset>193040</wp:posOffset>
                </wp:positionV>
                <wp:extent cx="2971800" cy="1676400"/>
                <wp:effectExtent l="3175" t="3175" r="3175" b="3175"/>
                <wp:wrapNone/>
                <wp:docPr id="1" name=""/>
                <a:graphic xmlns:a="http://schemas.openxmlformats.org/drawingml/2006/main">
                  <a:graphicData uri="http://schemas.microsoft.com/office/word/2010/wordprocessingShape">
                    <wps:wsp>
                      <wps:cNvSpPr/>
                      <wps:nvSpPr>
                        <wps:cNvPr id="2" name=""/>
                        <wps:cNvSpPr/>
                      </wps:nvSpPr>
                      <wps:spPr>
                        <a:xfrm>
                          <a:off x="0" y="0"/>
                          <a:ext cx="2971800" cy="1676520"/>
                        </a:xfrm>
                        <a:prstGeom prst="rect">
                          <a:avLst/>
                        </a:prstGeom>
                        <a:noFill/>
                        <a:ln w="6480">
                          <a:solidFill>
                            <a:srgbClr val="000000"/>
                          </a:solidFill>
                          <a:round/>
                        </a:ln>
                      </wps:spPr>
                      <wps:bodyPr/>
                    </wps:wsp>
                  </a:graphicData>
                </a:graphic>
              </wp:anchor>
            </w:drawing>
          </mc:Choice>
          <mc:Fallback>
            <w:pict>
              <v:rect id="shape_0" stroked="t" o:allowincell="f" style="position:absolute;margin-left:2.25pt;margin-top:15.2pt;width:233.95pt;height:131.95pt;mso-wrap-style:none;v-text-anchor:middle;mso-position-vertical-relative:margin">
                <v:fill o:detectmouseclick="t" on="false"/>
                <v:stroke color="black" weight="6480" joinstyle="round" endcap="flat"/>
                <w10:wrap type="none"/>
              </v:rect>
            </w:pict>
          </mc:Fallback>
        </mc:AlternateContent>
      </w:r>
    </w:p>
    <w:p>
      <w:pPr>
        <w:pStyle w:val="Header"/>
        <w:tabs>
          <w:tab w:val="clear" w:pos="4320"/>
          <w:tab w:val="clear" w:pos="8640"/>
          <w:tab w:val="right" w:pos="9540" w:leader="dot"/>
        </w:tabs>
        <w:ind w:start="90" w:end="144"/>
        <w:rPr>
          <w:rFonts w:ascii="HelveticaNeue MediumCond" w:hAnsi="HelveticaNeue MediumCond" w:eastAsia="HelveticaNeue MediumCond" w:cs="HelveticaNeue MediumCond"/>
          <w:sz w:val="17"/>
          <w:szCs w:val="17"/>
        </w:rPr>
      </w:pPr>
      <w:r>
        <w:rPr>
          <w:rFonts w:eastAsia="HelveticaNeue MediumCond" w:cs="HelveticaNeue MediumCond" w:ascii="HelveticaNeue MediumCond" w:hAnsi="HelveticaNeue MediumCond"/>
          <w:sz w:val="20"/>
          <w:szCs w:val="20"/>
        </w:rPr>
        <w:t>Helpful Phone Numbers</w:t>
      </w:r>
    </w:p>
    <w:p>
      <w:pPr>
        <w:pStyle w:val="Normal"/>
        <w:tabs>
          <w:tab w:val="clear" w:pos="720"/>
          <w:tab w:val="right" w:pos="4500" w:leader="dot"/>
        </w:tabs>
        <w:spacing w:before="0" w:after="40"/>
        <w:ind w:start="274" w:end="-13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b/>
          <w:bCs/>
          <w:sz w:val="16"/>
          <w:szCs w:val="16"/>
        </w:rPr>
        <w:t>Customer Services – English</w:t>
      </w:r>
      <w:r>
        <w:rPr>
          <w:rFonts w:eastAsia="HelveticaNeue MediumCond" w:cs="HelveticaNeue MediumCond" w:ascii="HelveticaNeue MediumCond" w:hAnsi="HelveticaNeue MediumCond"/>
          <w:sz w:val="16"/>
          <w:szCs w:val="16"/>
        </w:rPr>
        <w:tab/>
      </w:r>
      <w:r>
        <w:rPr>
          <w:rFonts w:eastAsia="HelveticaNeue MediumCond" w:cs="HelveticaNeue MediumCond" w:ascii="HelveticaNeue MediumCond" w:hAnsi="HelveticaNeue MediumCond"/>
          <w:b/>
          <w:bCs/>
          <w:sz w:val="16"/>
          <w:szCs w:val="16"/>
        </w:rPr>
        <w:t>1-800-743-5000</w:t>
      </w:r>
    </w:p>
    <w:p>
      <w:pPr>
        <w:pStyle w:val="Normal"/>
        <w:tabs>
          <w:tab w:val="clear" w:pos="720"/>
          <w:tab w:val="right" w:pos="4500" w:leader="dot"/>
        </w:tabs>
        <w:spacing w:before="0" w:after="40"/>
        <w:ind w:start="450" w:end="-13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TDD/TTY (Speech/Hearing-Impaired)</w:t>
        <w:tab/>
        <w:t>1-800-652-4712</w:t>
      </w:r>
    </w:p>
    <w:p>
      <w:pPr>
        <w:pStyle w:val="Normal"/>
        <w:tabs>
          <w:tab w:val="clear" w:pos="720"/>
          <w:tab w:val="right" w:pos="4500" w:leader="dot"/>
        </w:tabs>
        <w:spacing w:before="0" w:after="40"/>
        <w:ind w:start="450" w:end="-126"/>
        <w:rPr/>
      </w:pPr>
      <w:r>
        <w:rPr>
          <w:rFonts w:eastAsia="HelveticaNeue MediumCond" w:cs="HelveticaNeue MediumCond" w:ascii="HelveticaNeue MediumCond" w:hAnsi="HelveticaNeue MediumCond"/>
          <w:sz w:val="16"/>
          <w:szCs w:val="16"/>
        </w:rPr>
        <w:t xml:space="preserve">Servicio al Cliente en </w:t>
      </w:r>
      <w:r>
        <w:rPr>
          <w:rFonts w:eastAsia="HelveticaNeue MediumCond" w:cs="HelveticaNeue MediumCond" w:ascii="HelveticaNeue MediumCond" w:hAnsi="HelveticaNeue MediumCond"/>
          <w:b/>
          <w:bCs/>
          <w:sz w:val="16"/>
          <w:szCs w:val="16"/>
        </w:rPr>
        <w:t>Español</w:t>
      </w:r>
      <w:r>
        <w:rPr>
          <w:rFonts w:eastAsia="HelveticaNeue MediumCond" w:cs="HelveticaNeue MediumCond" w:ascii="HelveticaNeue MediumCond" w:hAnsi="HelveticaNeue MediumCond"/>
          <w:sz w:val="16"/>
          <w:szCs w:val="16"/>
        </w:rPr>
        <w:t xml:space="preserve"> (Spanish)</w:t>
        <w:tab/>
        <w:t>1-800-660-6789</w:t>
      </w:r>
    </w:p>
    <w:p>
      <w:pPr>
        <w:pStyle w:val="Normal"/>
        <w:tabs>
          <w:tab w:val="clear" w:pos="720"/>
          <w:tab w:val="right" w:pos="4500" w:leader="dot"/>
        </w:tabs>
        <w:spacing w:before="0" w:after="40"/>
        <w:ind w:start="450" w:end="-126"/>
        <w:rPr/>
      </w:pPr>
      <w:r>
        <w:rPr>
          <w:rFonts w:eastAsia="Univers Cd (W1)" w:cs="Univers Cd (W1)" w:ascii="Univers Cd (W1)" w:hAnsi="Univers Cd (W1)"/>
          <w:sz w:val="20"/>
          <w:szCs w:val="20"/>
        </w:rPr>
        <w:drawing>
          <wp:inline distT="0" distB="0" distL="0" distR="0">
            <wp:extent cx="1117600" cy="1136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tretch>
                      <a:fillRect/>
                    </a:stretch>
                  </pic:blipFill>
                  <pic:spPr bwMode="auto">
                    <a:xfrm>
                      <a:off x="0" y="0"/>
                      <a:ext cx="1117600" cy="113665"/>
                    </a:xfrm>
                    <a:prstGeom prst="rect">
                      <a:avLst/>
                    </a:prstGeom>
                    <a:noFill/>
                  </pic:spPr>
                </pic:pic>
              </a:graphicData>
            </a:graphic>
          </wp:inline>
        </w:drawing>
      </w:r>
      <w:r>
        <w:rPr>
          <w:rFonts w:eastAsia="HelveticaNeue MediumCond" w:cs="HelveticaNeue MediumCond" w:ascii="HelveticaNeue MediumCond" w:hAnsi="HelveticaNeue MediumCond"/>
          <w:sz w:val="16"/>
          <w:szCs w:val="16"/>
        </w:rPr>
        <w:t xml:space="preserve"> </w:t>
      </w:r>
      <w:r>
        <w:rPr>
          <w:rFonts w:eastAsia="HelveticaNeue MediumCond" w:cs="HelveticaNeue MediumCond" w:ascii="HelveticaNeue MediumCond" w:hAnsi="HelveticaNeue MediumCond"/>
          <w:sz w:val="16"/>
          <w:szCs w:val="16"/>
        </w:rPr>
        <w:t>(Chinese)</w:t>
        <w:tab/>
        <w:t>1-800-893-9555</w:t>
      </w:r>
    </w:p>
    <w:p>
      <w:pPr>
        <w:pStyle w:val="Normal"/>
        <w:tabs>
          <w:tab w:val="clear" w:pos="720"/>
          <w:tab w:val="right" w:pos="4500" w:leader="dot"/>
        </w:tabs>
        <w:spacing w:lineRule="exact" w:line="160" w:before="20" w:after="60"/>
        <w:ind w:start="450" w:end="-130"/>
        <w:rPr/>
      </w:pPr>
      <w:r>
        <w:rPr>
          <w:rFonts w:eastAsia="ÁnhMinh 1.1" w:cs="ÁnhMinh 1.1" w:ascii="ÁnhMinh 1.1" w:hAnsi="ÁnhMinh 1.1"/>
          <w:sz w:val="20"/>
          <w:szCs w:val="20"/>
          <w:vertAlign w:val="subscript"/>
        </w:rPr>
        <w:object w:dxaOrig="11265" w:dyaOrig="118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4.6pt;height:9.65pt" filled="f" o:ole="">
            <v:imagedata r:id="rId4" o:title=""/>
          </v:shape>
          <o:OLEObject Type="Embed" ProgID="" ShapeID="ole_rId3" DrawAspect="Content" ObjectID="_81742310" r:id="rId3"/>
        </w:object>
      </w:r>
      <w:r>
        <w:rPr>
          <w:rFonts w:eastAsia="HelveticaNeue MediumCond" w:cs="HelveticaNeue MediumCond" w:ascii="HelveticaNeue MediumCond" w:hAnsi="HelveticaNeue MediumCond"/>
          <w:sz w:val="20"/>
          <w:szCs w:val="20"/>
          <w:vertAlign w:val="subscript"/>
        </w:rPr>
        <w:t xml:space="preserve"> </w:t>
      </w:r>
      <w:r>
        <w:rPr>
          <w:rFonts w:eastAsia="HelveticaNeue MediumCond" w:cs="HelveticaNeue MediumCond" w:ascii="HelveticaNeue MediumCond" w:hAnsi="HelveticaNeue MediumCond"/>
          <w:sz w:val="16"/>
          <w:szCs w:val="16"/>
        </w:rPr>
        <w:t>(Vietnamese)</w:t>
        <w:tab/>
        <w:t>1-800-298-8438</w:t>
      </w:r>
    </w:p>
    <w:p>
      <w:pPr>
        <w:pStyle w:val="Normal"/>
        <w:tabs>
          <w:tab w:val="clear" w:pos="720"/>
          <w:tab w:val="right" w:pos="4500" w:leader="dot"/>
        </w:tabs>
        <w:ind w:start="274" w:end="-13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Smarter Energy Line</w:t>
        <w:tab/>
        <w:t>1-800-933-9555</w:t>
      </w:r>
    </w:p>
    <w:p>
      <w:pPr>
        <w:pStyle w:val="Normal"/>
        <w:tabs>
          <w:tab w:val="clear" w:pos="720"/>
          <w:tab w:val="left" w:pos="450" w:leader="none"/>
          <w:tab w:val="right" w:pos="4500" w:leader="dot"/>
        </w:tabs>
        <w:spacing w:lineRule="exact" w:line="160" w:before="0" w:after="40"/>
        <w:ind w:start="274" w:end="-130"/>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tab/>
        <w:t>(Residential Energy Efficiency Information)</w:t>
      </w:r>
    </w:p>
    <w:p>
      <w:pPr>
        <w:pStyle w:val="Normal"/>
        <w:tabs>
          <w:tab w:val="clear" w:pos="720"/>
          <w:tab w:val="right" w:pos="4500" w:leader="dot"/>
        </w:tabs>
        <w:spacing w:before="0" w:after="40"/>
        <w:ind w:start="274" w:end="-13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Energy Theft Hotline</w:t>
        <w:tab/>
        <w:t>1-800-854-6250</w:t>
      </w:r>
    </w:p>
    <w:p>
      <w:pPr>
        <w:pStyle w:val="Normal"/>
        <w:tabs>
          <w:tab w:val="clear" w:pos="720"/>
          <w:tab w:val="right" w:pos="4500" w:leader="dot"/>
        </w:tabs>
        <w:spacing w:before="0" w:after="40"/>
        <w:ind w:start="274" w:end="-130"/>
        <w:rPr>
          <w:rFonts w:ascii="HelveticaNeue MediumCond" w:hAnsi="HelveticaNeue MediumCond" w:eastAsia="HelveticaNeue MediumCond" w:cs="HelveticaNeue MediumCond"/>
          <w:color w:val="FF0000"/>
          <w:sz w:val="16"/>
          <w:szCs w:val="16"/>
        </w:rPr>
      </w:pPr>
      <w:r>
        <w:rPr>
          <w:rFonts w:eastAsia="HelveticaNeue MediumCond" w:cs="HelveticaNeue MediumCond" w:ascii="HelveticaNeue MediumCond" w:hAnsi="HelveticaNeue MediumCond"/>
          <w:color w:val="000000"/>
          <w:sz w:val="16"/>
          <w:szCs w:val="16"/>
        </w:rPr>
        <w:t>For A Claim Form</w:t>
        <w:tab/>
        <w:t>1-800-743-5000</w:t>
      </w:r>
    </w:p>
    <w:p>
      <w:pPr>
        <w:pStyle w:val="Normal"/>
        <w:tabs>
          <w:tab w:val="clear" w:pos="720"/>
          <w:tab w:val="right" w:pos="4500" w:leader="dot"/>
        </w:tabs>
        <w:spacing w:before="0" w:after="40"/>
        <w:ind w:start="274" w:end="-13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Internet Address</w:t>
        <w:tab/>
        <w:t>www.pge.com</w:t>
      </w:r>
    </w:p>
    <w:p>
      <w:pPr>
        <w:pStyle w:val="Normal"/>
        <w:spacing w:before="80" w:after="0"/>
        <w:ind w:start="115" w:end="0"/>
        <w:jc w:val="center"/>
        <w:rPr>
          <w:rFonts w:ascii="HelveticaNeue MediumCond" w:hAnsi="HelveticaNeue MediumCond" w:eastAsia="HelveticaNeue MediumCond" w:cs="HelveticaNeue MediumCond"/>
          <w:b/>
          <w:bCs/>
          <w:sz w:val="16"/>
          <w:szCs w:val="16"/>
        </w:rPr>
      </w:pPr>
      <w:r>
        <mc:AlternateContent>
          <mc:Choice Requires="wps">
            <w:drawing>
              <wp:anchor behindDoc="0" distT="0" distB="0" distL="0" distR="0" simplePos="0" locked="0" layoutInCell="1" allowOverlap="1" relativeHeight="5">
                <wp:simplePos x="0" y="0"/>
                <wp:positionH relativeFrom="column">
                  <wp:posOffset>28575</wp:posOffset>
                </wp:positionH>
                <wp:positionV relativeFrom="paragraph">
                  <wp:posOffset>49530</wp:posOffset>
                </wp:positionV>
                <wp:extent cx="2971800" cy="6629400"/>
                <wp:effectExtent l="5080" t="5080" r="5080" b="5080"/>
                <wp:wrapNone/>
                <wp:docPr id="4" name=""/>
                <a:graphic xmlns:a="http://schemas.openxmlformats.org/drawingml/2006/main">
                  <a:graphicData uri="http://schemas.microsoft.com/office/word/2010/wordprocessingShape">
                    <wps:wsp>
                      <wps:cNvSpPr/>
                      <wps:nvSpPr>
                        <wps:cNvPr id="5" name=""/>
                        <wps:cNvSpPr/>
                      </wps:nvSpPr>
                      <wps:spPr>
                        <a:xfrm>
                          <a:off x="0" y="0"/>
                          <a:ext cx="2971800" cy="6629400"/>
                        </a:xfrm>
                        <a:prstGeom prst="rect">
                          <a:avLst/>
                        </a:prstGeom>
                        <a:noFill/>
                        <a:ln w="9360">
                          <a:solidFill>
                            <a:srgbClr val="000000"/>
                          </a:solidFill>
                          <a:round/>
                        </a:ln>
                      </wps:spPr>
                      <wps:bodyPr/>
                    </wps:wsp>
                  </a:graphicData>
                </a:graphic>
              </wp:anchor>
            </w:drawing>
          </mc:Choice>
          <mc:Fallback>
            <w:pict>
              <v:rect id="shape_0" stroked="t" o:allowincell="f" style="position:absolute;margin-left:2.25pt;margin-top:3.9pt;width:233.95pt;height:521.95pt;mso-wrap-style:none;v-text-anchor:middle">
                <v:fill o:detectmouseclick="t" on="false"/>
                <v:stroke color="black" weight="9360" joinstyle="round" endcap="flat"/>
                <w10:wrap type="none"/>
              </v:rect>
            </w:pict>
          </mc:Fallback>
        </mc:AlternateContent>
      </w:r>
      <w:r>
        <w:rPr>
          <w:rFonts w:eastAsia="HelveticaNeue MediumCond" w:cs="HelveticaNeue MediumCond" w:ascii="HelveticaNeue MediumCond" w:hAnsi="HelveticaNeue MediumCond"/>
          <w:b/>
          <w:bCs/>
          <w:sz w:val="16"/>
          <w:szCs w:val="16"/>
        </w:rPr>
        <w:t>ELECTRIC INDUSTRY COMPETITION DEFINITIONS</w:t>
      </w:r>
    </w:p>
    <w:p>
      <w:pPr>
        <w:pStyle w:val="Normal"/>
        <w:numPr>
          <w:ilvl w:val="0"/>
          <w:numId w:val="1"/>
        </w:numPr>
        <w:tabs>
          <w:tab w:val="clear" w:pos="720"/>
          <w:tab w:val="left" w:pos="0" w:leader="none"/>
        </w:tabs>
        <w:ind w:hanging="432" w:start="547" w:end="0"/>
        <w:rPr/>
      </w:pPr>
      <w:r>
        <w:rPr>
          <w:rFonts w:eastAsia="HelveticaNeue MediumCond" w:cs="HelveticaNeue MediumCond" w:ascii="HelveticaNeue MediumCond" w:hAnsi="HelveticaNeue MediumCond"/>
          <w:b/>
          <w:bCs/>
          <w:sz w:val="16"/>
          <w:szCs w:val="16"/>
        </w:rPr>
        <w:t>Competition Transition Charge:</w:t>
      </w:r>
      <w:r>
        <w:rPr>
          <w:rFonts w:eastAsia="HelveticaNeue MediumCond" w:cs="HelveticaNeue MediumCond" w:ascii="HelveticaNeue MediumCond" w:hAnsi="HelveticaNeue MediumCond"/>
          <w:sz w:val="16"/>
          <w:szCs w:val="16"/>
        </w:rPr>
        <w:t xml:space="preserve">  This charge was authorized by the CPUC and allows PG&amp;E to recover costs related to its CPUC-approved, pre-restructuring investments in electric generating facilities and power purchase contracts.  All customers are obligated to pay the CTC.  The CTC does not diminish your 10% rate reduction nor increase the amount of your bill.</w:t>
      </w:r>
    </w:p>
    <w:p>
      <w:pPr>
        <w:pStyle w:val="Normal"/>
        <w:numPr>
          <w:ilvl w:val="0"/>
          <w:numId w:val="1"/>
        </w:numPr>
        <w:tabs>
          <w:tab w:val="clear" w:pos="720"/>
          <w:tab w:val="left" w:pos="0" w:leader="none"/>
        </w:tabs>
        <w:ind w:hanging="432" w:start="547" w:end="0"/>
        <w:rPr/>
      </w:pPr>
      <w:r>
        <w:rPr>
          <w:rFonts w:eastAsia="HelveticaNeue MediumCond" w:cs="HelveticaNeue MediumCond" w:ascii="HelveticaNeue MediumCond" w:hAnsi="HelveticaNeue MediumCond"/>
          <w:b/>
          <w:bCs/>
          <w:sz w:val="16"/>
          <w:szCs w:val="16"/>
        </w:rPr>
        <w:t>Legislated 10% Reduction:</w:t>
      </w:r>
      <w:r>
        <w:rPr>
          <w:rFonts w:eastAsia="HelveticaNeue MediumCond" w:cs="HelveticaNeue MediumCond" w:ascii="HelveticaNeue MediumCond" w:hAnsi="HelveticaNeue MediumCond"/>
          <w:sz w:val="16"/>
          <w:szCs w:val="16"/>
        </w:rPr>
        <w:t xml:space="preserve">  All residential and eligible small business customers receive this discount effective January 1, 1998.  This rate reduction was ordered by the Legislature to provide some benefits of electric industry restructuring at the earliest possible date.</w:t>
      </w:r>
    </w:p>
    <w:p>
      <w:pPr>
        <w:pStyle w:val="Normal"/>
        <w:numPr>
          <w:ilvl w:val="0"/>
          <w:numId w:val="1"/>
        </w:numPr>
        <w:tabs>
          <w:tab w:val="clear" w:pos="720"/>
          <w:tab w:val="left" w:pos="0" w:leader="none"/>
        </w:tabs>
        <w:ind w:hanging="432" w:start="547" w:end="0"/>
        <w:rPr>
          <w:rFonts w:ascii="HelveticaNeue MediumCond" w:hAnsi="HelveticaNeue MediumCond" w:eastAsia="HelveticaNeue MediumCond" w:cs="HelveticaNeue MediumCond"/>
          <w:color w:val="FF0000"/>
          <w:sz w:val="16"/>
          <w:szCs w:val="16"/>
        </w:rPr>
      </w:pPr>
      <w:r>
        <w:rPr>
          <w:rFonts w:eastAsia="HelveticaNeue MediumCond" w:cs="HelveticaNeue MediumCond" w:ascii="HelveticaNeue MediumCond" w:hAnsi="HelveticaNeue MediumCond"/>
          <w:b/>
          <w:bCs/>
          <w:sz w:val="16"/>
          <w:szCs w:val="16"/>
        </w:rPr>
        <w:t>Trust Transfer Amount (TTA):</w:t>
      </w:r>
      <w:r>
        <w:rPr>
          <w:rFonts w:eastAsia="HelveticaNeue MediumCond" w:cs="HelveticaNeue MediumCond" w:ascii="HelveticaNeue MediumCond" w:hAnsi="HelveticaNeue MediumCond"/>
          <w:sz w:val="16"/>
          <w:szCs w:val="16"/>
        </w:rPr>
        <w:t xml:space="preserve">  A portion of historic costs was financed through low-cost bonds to reduce past  bills by 10%.  The TTA reflects the costs of these bonds, which are less expensive than the type of financing the utilities previously employed.  The TTA has been transferred to a subsidiary of PG&amp;E and then to a public trust.  PG&amp;E is collecting the TTA on behalf of the subsidiary and public trust.  The TTA does not belong to PG&amp;E.</w:t>
      </w:r>
    </w:p>
    <w:p>
      <w:pPr>
        <w:pStyle w:val="Normal"/>
        <w:numPr>
          <w:ilvl w:val="0"/>
          <w:numId w:val="1"/>
        </w:numPr>
        <w:tabs>
          <w:tab w:val="clear" w:pos="720"/>
          <w:tab w:val="left" w:pos="0" w:leader="none"/>
        </w:tabs>
        <w:ind w:hanging="432" w:start="547" w:end="0"/>
        <w:rPr/>
      </w:pPr>
      <w:r>
        <w:rPr>
          <w:rFonts w:eastAsia="HelveticaNeue MediumCond" w:cs="HelveticaNeue MediumCond" w:ascii="HelveticaNeue MediumCond" w:hAnsi="HelveticaNeue MediumCond"/>
          <w:b/>
          <w:bCs/>
          <w:sz w:val="16"/>
          <w:szCs w:val="16"/>
        </w:rPr>
        <w:t>Direct Access Energy Credit:</w:t>
      </w:r>
      <w:r>
        <w:rPr>
          <w:rFonts w:eastAsia="HelveticaNeue MediumCond" w:cs="HelveticaNeue MediumCond" w:ascii="HelveticaNeue MediumCond" w:hAnsi="HelveticaNeue MediumCond"/>
          <w:sz w:val="16"/>
          <w:szCs w:val="16"/>
        </w:rPr>
        <w:t xml:space="preserve">  </w:t>
      </w:r>
      <w:r>
        <w:rPr>
          <w:rFonts w:eastAsia="HelveticaNeue MediumCond" w:cs="HelveticaNeue MediumCond" w:ascii="HelveticaNeue MediumCond" w:hAnsi="HelveticaNeue MediumCond"/>
          <w:color w:val="000000"/>
          <w:sz w:val="16"/>
          <w:szCs w:val="16"/>
        </w:rPr>
        <w:t>The Direct Access credit is equal to the amount Pacific Gas and Electric Company would have charged similar customers who purchased electricity from Pacific Gas and Electric Company</w:t>
      </w:r>
      <w:r>
        <w:rPr>
          <w:rFonts w:eastAsia="HelveticaNeue MediumCond" w:cs="HelveticaNeue MediumCond" w:ascii="HelveticaNeue MediumCond" w:hAnsi="HelveticaNeue MediumCond"/>
          <w:color w:val="FF0000"/>
          <w:sz w:val="16"/>
          <w:szCs w:val="16"/>
        </w:rPr>
        <w:t>.</w:t>
      </w:r>
    </w:p>
    <w:p>
      <w:pPr>
        <w:pStyle w:val="Normal"/>
        <w:numPr>
          <w:ilvl w:val="0"/>
          <w:numId w:val="1"/>
        </w:numPr>
        <w:tabs>
          <w:tab w:val="clear" w:pos="720"/>
          <w:tab w:val="left" w:pos="0" w:leader="none"/>
        </w:tabs>
        <w:ind w:hanging="432" w:start="547" w:end="0"/>
        <w:rPr/>
      </w:pPr>
      <w:r>
        <w:rPr>
          <w:rFonts w:eastAsia="HelveticaNeue MediumCond" w:cs="HelveticaNeue MediumCond" w:ascii="HelveticaNeue MediumCond" w:hAnsi="HelveticaNeue MediumCond"/>
          <w:b/>
          <w:bCs/>
          <w:sz w:val="16"/>
          <w:szCs w:val="16"/>
        </w:rPr>
        <w:t>Distribution</w:t>
      </w:r>
      <w:r>
        <w:rPr>
          <w:rFonts w:eastAsia="HelveticaNeue MediumCond" w:cs="HelveticaNeue MediumCond" w:ascii="HelveticaNeue MediumCond" w:hAnsi="HelveticaNeue MediumCond"/>
          <w:b/>
          <w:bCs/>
          <w:color w:val="000000"/>
          <w:sz w:val="16"/>
          <w:szCs w:val="16"/>
        </w:rPr>
        <w:t>:</w:t>
      </w:r>
      <w:r>
        <w:rPr>
          <w:rFonts w:eastAsia="HelveticaNeue MediumCond" w:cs="HelveticaNeue MediumCond" w:ascii="HelveticaNeue MediumCond" w:hAnsi="HelveticaNeue MediumCond"/>
          <w:color w:val="000000"/>
          <w:sz w:val="16"/>
          <w:szCs w:val="16"/>
        </w:rPr>
        <w:t xml:space="preserve">  The cost of distributing the energy over the wires and utility poles to your home or business.</w:t>
      </w:r>
    </w:p>
    <w:p>
      <w:pPr>
        <w:pStyle w:val="Normal"/>
        <w:numPr>
          <w:ilvl w:val="0"/>
          <w:numId w:val="1"/>
        </w:numPr>
        <w:tabs>
          <w:tab w:val="clear" w:pos="720"/>
          <w:tab w:val="left" w:pos="0" w:leader="none"/>
        </w:tabs>
        <w:ind w:hanging="432" w:start="547" w:end="0"/>
        <w:rPr/>
      </w:pPr>
      <w:r>
        <w:rPr>
          <w:rFonts w:eastAsia="HelveticaNeue MediumCond" w:cs="HelveticaNeue MediumCond" w:ascii="HelveticaNeue MediumCond" w:hAnsi="HelveticaNeue MediumCond"/>
          <w:b/>
          <w:bCs/>
          <w:color w:val="000000"/>
          <w:sz w:val="16"/>
          <w:szCs w:val="16"/>
        </w:rPr>
        <w:t xml:space="preserve">Electric Franchise Fee Surcharge:  </w:t>
      </w:r>
      <w:r>
        <w:rPr>
          <w:rFonts w:eastAsia="HelveticaNeue MediumCond" w:cs="HelveticaNeue MediumCond" w:ascii="HelveticaNeue MediumCond" w:hAnsi="HelveticaNeue MediumCond"/>
          <w:color w:val="000000"/>
          <w:sz w:val="16"/>
          <w:szCs w:val="16"/>
        </w:rPr>
        <w:t>Franchise Fees pay for Pacific Gas and Electric Company’s Right of Way on public property.  These fees are collected by Pacific Gas and Electric Company and paid to local government.  All customers, including direct access customers, must pay a franchise fee regardless of the Energy Service Provider.</w:t>
      </w:r>
    </w:p>
    <w:p>
      <w:pPr>
        <w:pStyle w:val="Normal"/>
        <w:numPr>
          <w:ilvl w:val="0"/>
          <w:numId w:val="1"/>
        </w:numPr>
        <w:tabs>
          <w:tab w:val="clear" w:pos="720"/>
          <w:tab w:val="left" w:pos="0" w:leader="none"/>
          <w:tab w:val="left" w:pos="1494" w:leader="none"/>
        </w:tabs>
        <w:ind w:hanging="432" w:start="547" w:end="0"/>
        <w:rPr/>
      </w:pPr>
      <w:r>
        <w:rPr>
          <w:rFonts w:eastAsia="HelveticaNeue MediumCond" w:cs="HelveticaNeue MediumCond" w:ascii="HelveticaNeue MediumCond" w:hAnsi="HelveticaNeue MediumCond"/>
          <w:b/>
          <w:bCs/>
          <w:color w:val="000000"/>
          <w:sz w:val="16"/>
          <w:szCs w:val="16"/>
        </w:rPr>
        <w:t xml:space="preserve">Energy Charges:  </w:t>
      </w:r>
      <w:r>
        <w:rPr>
          <w:rFonts w:eastAsia="HelveticaNeue MediumCond" w:cs="HelveticaNeue MediumCond" w:ascii="HelveticaNeue MediumCond" w:hAnsi="HelveticaNeue MediumCond"/>
          <w:color w:val="000000"/>
          <w:sz w:val="16"/>
          <w:szCs w:val="16"/>
        </w:rPr>
        <w:t>This charge is established to pay for electricity and is equal to charges for energy purchased by the California Department of Water Resources (CDWR) and charges for all other energy purchases.  It is subject to 0.6368% for franchise fees that are not avoided by purchasing electricity from another supplier.</w:t>
      </w:r>
    </w:p>
    <w:p>
      <w:pPr>
        <w:pStyle w:val="Normal"/>
        <w:numPr>
          <w:ilvl w:val="0"/>
          <w:numId w:val="1"/>
        </w:numPr>
        <w:tabs>
          <w:tab w:val="clear" w:pos="720"/>
          <w:tab w:val="left" w:pos="0" w:leader="none"/>
        </w:tabs>
        <w:ind w:hanging="432" w:start="547" w:end="0"/>
        <w:rPr/>
      </w:pPr>
      <w:r>
        <w:rPr>
          <w:rFonts w:eastAsia="HelveticaNeue MediumCond" w:cs="HelveticaNeue MediumCond" w:ascii="HelveticaNeue MediumCond" w:hAnsi="HelveticaNeue MediumCond"/>
          <w:b/>
          <w:bCs/>
          <w:sz w:val="16"/>
          <w:szCs w:val="16"/>
        </w:rPr>
        <w:t>Nuclear Decommissioning:</w:t>
      </w:r>
      <w:r>
        <w:rPr>
          <w:rFonts w:eastAsia="HelveticaNeue MediumCond" w:cs="HelveticaNeue MediumCond" w:ascii="HelveticaNeue MediumCond" w:hAnsi="HelveticaNeue MediumCond"/>
          <w:sz w:val="16"/>
          <w:szCs w:val="16"/>
        </w:rPr>
        <w:t xml:space="preserve">  The non-bypassable charge that will collect the funds required to restore the site when PG&amp;E's nuclear power plants are removed from service.</w:t>
      </w:r>
    </w:p>
    <w:p>
      <w:pPr>
        <w:pStyle w:val="Normal"/>
        <w:numPr>
          <w:ilvl w:val="0"/>
          <w:numId w:val="1"/>
        </w:numPr>
        <w:tabs>
          <w:tab w:val="clear" w:pos="720"/>
          <w:tab w:val="left" w:pos="0" w:leader="none"/>
        </w:tabs>
        <w:ind w:hanging="432" w:start="547" w:end="0"/>
        <w:rPr/>
      </w:pPr>
      <w:r>
        <w:rPr>
          <w:rFonts w:eastAsia="HelveticaNeue MediumCond" w:cs="HelveticaNeue MediumCond" w:ascii="HelveticaNeue MediumCond" w:hAnsi="HelveticaNeue MediumCond"/>
          <w:b/>
          <w:bCs/>
          <w:sz w:val="16"/>
          <w:szCs w:val="16"/>
        </w:rPr>
        <w:t>Public Purpose Programs:</w:t>
      </w:r>
      <w:r>
        <w:rPr>
          <w:rFonts w:eastAsia="HelveticaNeue MediumCond" w:cs="HelveticaNeue MediumCond" w:ascii="HelveticaNeue MediumCond" w:hAnsi="HelveticaNeue MediumCond"/>
          <w:sz w:val="16"/>
          <w:szCs w:val="16"/>
        </w:rPr>
        <w:t xml:space="preserve">  The non-bypassable charge, which has always been part of utility bills, of contributing to state-mandated assistance programs for low-income customers and energy-efficiency efforts.</w:t>
      </w:r>
    </w:p>
    <w:p>
      <w:pPr>
        <w:pStyle w:val="Normal"/>
        <w:numPr>
          <w:ilvl w:val="0"/>
          <w:numId w:val="1"/>
        </w:numPr>
        <w:tabs>
          <w:tab w:val="clear" w:pos="720"/>
          <w:tab w:val="left" w:pos="0" w:leader="none"/>
        </w:tabs>
        <w:ind w:hanging="432" w:start="547" w:end="0"/>
        <w:rPr/>
      </w:pPr>
      <w:r>
        <w:rPr>
          <w:rFonts w:eastAsia="HelveticaNeue MediumCond" w:cs="HelveticaNeue MediumCond" w:ascii="HelveticaNeue MediumCond" w:hAnsi="HelveticaNeue MediumCond"/>
          <w:b/>
          <w:bCs/>
          <w:sz w:val="16"/>
          <w:szCs w:val="16"/>
        </w:rPr>
        <w:t>Transmission:</w:t>
      </w:r>
      <w:r>
        <w:rPr>
          <w:rFonts w:eastAsia="HelveticaNeue MediumCond" w:cs="HelveticaNeue MediumCond" w:ascii="HelveticaNeue MediumCond" w:hAnsi="HelveticaNeue MediumCond"/>
          <w:sz w:val="16"/>
          <w:szCs w:val="16"/>
        </w:rPr>
        <w:t xml:space="preserve">  The cost of conveying energy from power plants to energy distributors over high-voltage lines, including charges PG&amp;E receives from the California Independent System Operator (ISO) for Reliability Services costs under ISO contracts with generators required for transmission system reliability.</w:t>
      </w:r>
    </w:p>
    <w:p>
      <w:pPr>
        <w:pStyle w:val="Normal"/>
        <w:numPr>
          <w:ilvl w:val="0"/>
          <w:numId w:val="0"/>
        </w:numPr>
        <w:ind w:hanging="0" w:start="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r>
    </w:p>
    <w:p>
      <w:pPr>
        <w:pStyle w:val="Normal"/>
        <w:numPr>
          <w:ilvl w:val="0"/>
          <w:numId w:val="0"/>
        </w:numPr>
        <w:tabs>
          <w:tab w:val="clear" w:pos="720"/>
          <w:tab w:val="center" w:pos="2340" w:leader="none"/>
        </w:tabs>
        <w:spacing w:lineRule="exact" w:line="200" w:before="80" w:after="80"/>
        <w:ind w:hanging="0" w:start="115" w:end="0"/>
        <w:jc w:val="center"/>
        <w:rPr>
          <w:rFonts w:ascii="HelveticaNeue MediumCond" w:hAnsi="HelveticaNeue MediumCond" w:eastAsia="HelveticaNeue MediumCond" w:cs="HelveticaNeue MediumCond"/>
          <w:b/>
          <w:bCs/>
          <w:sz w:val="16"/>
          <w:szCs w:val="16"/>
          <w:u w:val="single"/>
        </w:rPr>
      </w:pPr>
      <w:r>
        <w:rPr>
          <w:rFonts w:eastAsia="HelveticaNeue MediumCond" w:cs="HelveticaNeue MediumCond" w:ascii="HelveticaNeue MediumCond" w:hAnsi="HelveticaNeue MediumCond"/>
          <w:b/>
          <w:bCs/>
          <w:sz w:val="16"/>
          <w:szCs w:val="16"/>
          <w:u w:val="single"/>
        </w:rPr>
        <w:t>THIS BILL IS NOW DUE AND PAYABLE</w:t>
      </w:r>
    </w:p>
    <w:p>
      <w:pPr>
        <w:pStyle w:val="Normal"/>
        <w:numPr>
          <w:ilvl w:val="0"/>
          <w:numId w:val="0"/>
        </w:numPr>
        <w:tabs>
          <w:tab w:val="clear" w:pos="720"/>
          <w:tab w:val="center" w:pos="2340" w:leader="none"/>
        </w:tabs>
        <w:spacing w:lineRule="exact" w:line="200" w:before="80" w:after="80"/>
        <w:ind w:hanging="0" w:start="115" w:end="0"/>
        <w:jc w:val="center"/>
        <w:rPr>
          <w:rFonts w:ascii="HelveticaNeue MediumCond" w:hAnsi="HelveticaNeue MediumCond" w:eastAsia="HelveticaNeue MediumCond" w:cs="HelveticaNeue MediumCond"/>
          <w:b/>
          <w:bCs/>
          <w:sz w:val="16"/>
          <w:szCs w:val="16"/>
          <w:u w:val="single"/>
        </w:rPr>
      </w:pPr>
      <w:r>
        <w:rPr>
          <w:rFonts w:eastAsia="HelveticaNeue MediumCond" w:cs="HelveticaNeue MediumCond" w:ascii="HelveticaNeue MediumCond" w:hAnsi="HelveticaNeue MediumCond"/>
          <w:b/>
          <w:bCs/>
          <w:sz w:val="16"/>
          <w:szCs w:val="16"/>
          <w:u w:val="single"/>
        </w:rPr>
      </w:r>
    </w:p>
    <w:p>
      <w:pPr>
        <w:pStyle w:val="Normal"/>
        <w:numPr>
          <w:ilvl w:val="0"/>
          <w:numId w:val="0"/>
        </w:numPr>
        <w:tabs>
          <w:tab w:val="clear" w:pos="720"/>
          <w:tab w:val="center" w:pos="2340" w:leader="none"/>
        </w:tabs>
        <w:spacing w:lineRule="exact" w:line="200" w:before="80" w:after="80"/>
        <w:ind w:hanging="0" w:start="115" w:end="0"/>
        <w:rPr>
          <w:rFonts w:ascii="HelveticaNeue MediumCond" w:hAnsi="HelveticaNeue MediumCond" w:eastAsia="HelveticaNeue MediumCond" w:cs="HelveticaNeue MediumCond"/>
          <w:b/>
          <w:bCs/>
          <w:sz w:val="16"/>
          <w:szCs w:val="16"/>
          <w:u w:val="single"/>
        </w:rPr>
      </w:pPr>
      <w:r>
        <w:rPr>
          <w:rFonts w:eastAsia="HelveticaNeue MediumCond" w:cs="HelveticaNeue MediumCond" w:ascii="HelveticaNeue MediumCond" w:hAnsi="HelveticaNeue MediumCond"/>
          <w:b/>
          <w:bCs/>
          <w:sz w:val="16"/>
          <w:szCs w:val="16"/>
          <w:u w:val="single"/>
        </w:rPr>
      </w:r>
    </w:p>
    <w:p>
      <w:pPr>
        <w:pStyle w:val="Normal"/>
        <w:numPr>
          <w:ilvl w:val="0"/>
          <w:numId w:val="0"/>
        </w:numPr>
        <w:tabs>
          <w:tab w:val="clear" w:pos="720"/>
          <w:tab w:val="center" w:pos="2340" w:leader="none"/>
        </w:tabs>
        <w:spacing w:lineRule="exact" w:line="200" w:before="80" w:after="80"/>
        <w:ind w:hanging="0" w:start="115" w:end="0"/>
        <w:jc w:val="center"/>
        <w:rPr>
          <w:rFonts w:ascii="HelveticaNeue MediumCond" w:hAnsi="HelveticaNeue MediumCond" w:eastAsia="HelveticaNeue MediumCond" w:cs="HelveticaNeue MediumCond"/>
          <w:b/>
          <w:bCs/>
          <w:sz w:val="16"/>
          <w:szCs w:val="16"/>
          <w:u w:val="single"/>
        </w:rPr>
      </w:pPr>
      <w:r>
        <w:br w:type="column"/>
      </w:r>
      <w:r>
        <w:rPr>
          <w:rFonts w:eastAsia="HelveticaNeue MediumCond" w:cs="HelveticaNeue MediumCond" w:ascii="HelveticaNeue MediumCond" w:hAnsi="HelveticaNeue MediumCond"/>
          <w:b/>
          <w:bCs/>
          <w:sz w:val="16"/>
          <w:szCs w:val="16"/>
          <w:u w:val="single"/>
        </w:rPr>
      </w:r>
    </w:p>
    <w:p>
      <w:pPr>
        <w:pStyle w:val="Normal"/>
        <w:numPr>
          <w:ilvl w:val="0"/>
          <w:numId w:val="0"/>
        </w:numPr>
        <w:spacing w:lineRule="exact" w:line="200" w:before="0" w:after="40"/>
        <w:ind w:hanging="0" w:start="0"/>
        <w:rPr>
          <w:rFonts w:ascii="HelveticaNeue MediumCond" w:hAnsi="HelveticaNeue MediumCond" w:eastAsia="HelveticaNeue MediumCond" w:cs="HelveticaNeue MediumCond"/>
          <w:b/>
          <w:bCs/>
          <w:sz w:val="16"/>
          <w:szCs w:val="16"/>
        </w:rPr>
      </w:pPr>
      <w:r>
        <w:rPr>
          <w:rFonts w:eastAsia="HelveticaNeue MediumCond" w:cs="HelveticaNeue MediumCond" w:ascii="HelveticaNeue MediumCond" w:hAnsi="HelveticaNeue MediumCond"/>
          <w:b/>
          <w:bCs/>
          <w:sz w:val="16"/>
          <w:szCs w:val="16"/>
        </w:rPr>
        <w:t>PAYING YOUR BILL</w:t>
      </w:r>
    </w:p>
    <w:p>
      <w:pPr>
        <w:pStyle w:val="Normal"/>
        <w:numPr>
          <w:ilvl w:val="0"/>
          <w:numId w:val="1"/>
        </w:numPr>
        <w:tabs>
          <w:tab w:val="clear" w:pos="720"/>
          <w:tab w:val="left" w:pos="0" w:leader="none"/>
        </w:tabs>
        <w:ind w:hanging="396" w:start="396"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By Mail – Send payment in the enclosed envelope.</w:t>
      </w:r>
    </w:p>
    <w:p>
      <w:pPr>
        <w:pStyle w:val="Normal"/>
        <w:numPr>
          <w:ilvl w:val="0"/>
          <w:numId w:val="1"/>
        </w:numPr>
        <w:tabs>
          <w:tab w:val="clear" w:pos="720"/>
          <w:tab w:val="left" w:pos="0" w:leader="none"/>
        </w:tabs>
        <w:ind w:hanging="396" w:start="396"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In Person – Pay at any PG&amp;E local office or pay station.</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Unpaid Bill – May require a deposit as outlined below to reestablish credit and/or result in disconnection of service.</w:t>
      </w:r>
    </w:p>
    <w:p>
      <w:pPr>
        <w:pStyle w:val="Normal"/>
        <w:numPr>
          <w:ilvl w:val="0"/>
          <w:numId w:val="0"/>
        </w:numPr>
        <w:spacing w:lineRule="exact" w:line="200" w:before="80" w:after="40"/>
        <w:ind w:hanging="0" w:start="0"/>
        <w:rPr>
          <w:rFonts w:ascii="HelveticaNeue MediumCond" w:hAnsi="HelveticaNeue MediumCond" w:eastAsia="HelveticaNeue MediumCond" w:cs="HelveticaNeue MediumCond"/>
          <w:b/>
          <w:bCs/>
          <w:sz w:val="16"/>
          <w:szCs w:val="16"/>
        </w:rPr>
      </w:pPr>
      <w:r>
        <w:rPr>
          <w:rFonts w:eastAsia="HelveticaNeue MediumCond" w:cs="HelveticaNeue MediumCond" w:ascii="HelveticaNeue MediumCond" w:hAnsi="HelveticaNeue MediumCond"/>
          <w:b/>
          <w:bCs/>
          <w:sz w:val="16"/>
          <w:szCs w:val="16"/>
        </w:rPr>
        <w:t>PAST-DUE BILLS</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Residential – The bill is due when you receive it and becomes past due 19 days after the date presented.</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Nonresidential – The bill is due when you receive it and becomes past due 15 days after the date presented.</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A closing bill is considered past due if not paid 15 days after the mailing date for all customers.</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Unable to pay on time?  Call to discuss reasonable payment arrangements, special programs and agencies that may be available to assist you.</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You may qualify for reduced rates under PG&amp;E’s CARE program.  Call PG&amp;E for an application.</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If a residential customer claims an inability to pay and PG&amp;E does not offer reasonable payment arrangements, he/she may contact the CPUC at 1-800-649-7570 or by TDD/TTY at 415-703-2032.</w:t>
      </w:r>
    </w:p>
    <w:p>
      <w:pPr>
        <w:pStyle w:val="Normal"/>
        <w:numPr>
          <w:ilvl w:val="0"/>
          <w:numId w:val="0"/>
        </w:numPr>
        <w:spacing w:lineRule="exact" w:line="200" w:before="80" w:after="40"/>
        <w:ind w:hanging="0" w:start="0" w:end="144"/>
        <w:rPr>
          <w:rFonts w:ascii="HelveticaNeue MediumCond" w:hAnsi="HelveticaNeue MediumCond" w:eastAsia="HelveticaNeue MediumCond" w:cs="HelveticaNeue MediumCond"/>
          <w:b/>
          <w:bCs/>
          <w:sz w:val="16"/>
          <w:szCs w:val="16"/>
        </w:rPr>
      </w:pPr>
      <w:r>
        <w:rPr>
          <w:rFonts w:eastAsia="HelveticaNeue MediumCond" w:cs="HelveticaNeue MediumCond" w:ascii="HelveticaNeue MediumCond" w:hAnsi="HelveticaNeue MediumCond"/>
          <w:b/>
          <w:bCs/>
          <w:sz w:val="16"/>
          <w:szCs w:val="16"/>
        </w:rPr>
        <w:t>DEPOSITS</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A residential deposit will be twice the average monthly bill as estimated by PG&amp;E.</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A nonresidential deposit may be twice the maximum monthly bill as estimated by PG&amp;E.</w:t>
      </w:r>
    </w:p>
    <w:p>
      <w:pPr>
        <w:pStyle w:val="Normal"/>
        <w:numPr>
          <w:ilvl w:val="0"/>
          <w:numId w:val="1"/>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A deposit to reestablish credit may be required when conditions of service or the basis on which credit was originally established has changed.</w:t>
      </w:r>
    </w:p>
    <w:p>
      <w:pPr>
        <w:pStyle w:val="Normal"/>
        <w:spacing w:lineRule="exact" w:line="200" w:before="80" w:after="40"/>
        <w:ind w:end="144"/>
        <w:rPr>
          <w:rFonts w:ascii="HelveticaNeue MediumCond" w:hAnsi="HelveticaNeue MediumCond" w:eastAsia="HelveticaNeue MediumCond" w:cs="HelveticaNeue MediumCond"/>
          <w:b/>
          <w:bCs/>
          <w:sz w:val="16"/>
          <w:szCs w:val="16"/>
        </w:rPr>
      </w:pPr>
      <w:r>
        <w:rPr>
          <w:rFonts w:eastAsia="HelveticaNeue MediumCond" w:cs="HelveticaNeue MediumCond" w:ascii="HelveticaNeue MediumCond" w:hAnsi="HelveticaNeue MediumCond"/>
          <w:b/>
          <w:bCs/>
          <w:sz w:val="16"/>
          <w:szCs w:val="16"/>
        </w:rPr>
        <w:t>RULES AND RATES</w:t>
      </w:r>
    </w:p>
    <w:p>
      <w:pPr>
        <w:pStyle w:val="Normal"/>
        <w:numPr>
          <w:ilvl w:val="0"/>
          <w:numId w:val="2"/>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The full text of PG&amp;E’s rules and rates is available for inspection upon request.</w:t>
      </w:r>
    </w:p>
    <w:p>
      <w:pPr>
        <w:pStyle w:val="Normal"/>
        <w:numPr>
          <w:ilvl w:val="0"/>
          <w:numId w:val="2"/>
        </w:numPr>
        <w:tabs>
          <w:tab w:val="clear" w:pos="720"/>
          <w:tab w:val="left" w:pos="0" w:leader="none"/>
        </w:tabs>
        <w:ind w:hanging="403" w:start="403" w:end="0"/>
        <w:rPr>
          <w:rFonts w:ascii="HelveticaNeue MediumCond" w:hAnsi="HelveticaNeue MediumCond" w:eastAsia="HelveticaNeue MediumCond" w:cs="HelveticaNeue MediumCond"/>
          <w:sz w:val="16"/>
          <w:szCs w:val="16"/>
        </w:rPr>
      </w:pPr>
      <w:r>
        <w:rPr>
          <w:rFonts w:eastAsia="HelveticaNeue MediumCond" w:cs="HelveticaNeue MediumCond" w:ascii="HelveticaNeue MediumCond" w:hAnsi="HelveticaNeue MediumCond"/>
          <w:sz w:val="16"/>
          <w:szCs w:val="16"/>
        </w:rPr>
        <w:t>Optional rates are available to many customers and may lower your PG&amp;E bills.  Call PG&amp;E for details.</w:t>
      </w:r>
    </w:p>
    <w:p>
      <w:pPr>
        <w:pStyle w:val="Normal"/>
        <w:spacing w:before="80" w:after="40"/>
        <w:ind w:end="144"/>
        <w:rPr>
          <w:rFonts w:ascii="HelveticaNeue MediumCond" w:hAnsi="HelveticaNeue MediumCond" w:eastAsia="HelveticaNeue MediumCond" w:cs="HelveticaNeue MediumCond"/>
          <w:b/>
          <w:bCs/>
          <w:sz w:val="16"/>
          <w:szCs w:val="16"/>
        </w:rPr>
      </w:pPr>
      <w:r>
        <w:rPr>
          <w:rFonts w:eastAsia="HelveticaNeue MediumCond" w:cs="HelveticaNeue MediumCond" w:ascii="HelveticaNeue MediumCond" w:hAnsi="HelveticaNeue MediumCond"/>
          <w:b/>
          <w:bCs/>
          <w:sz w:val="16"/>
          <w:szCs w:val="16"/>
        </w:rPr>
        <w:t>DISPUTED BILLS</w:t>
      </w:r>
    </w:p>
    <w:p>
      <w:pPr>
        <w:pStyle w:val="Normal"/>
        <w:spacing w:lineRule="exact" w:line="180" w:before="0" w:after="4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t>Should you question this bill, please request an explanation from PG&amp;E.  If you thereafter believe you have been billed incorrectly, send the bill and a statement supporting your belief that the bill is not correct to:</w:t>
      </w:r>
    </w:p>
    <w:p>
      <w:pPr>
        <w:pStyle w:val="Normal"/>
        <w:spacing w:lineRule="exact" w:line="180"/>
        <w:ind w:firstLine="360" w:end="144"/>
        <w:rPr>
          <w:rFonts w:ascii="HelveticaNeue MediumCond" w:hAnsi="HelveticaNeue MediumCond" w:eastAsia="HelveticaNeue MediumCond" w:cs="HelveticaNeue MediumCond"/>
          <w:b/>
          <w:bCs/>
          <w:sz w:val="14"/>
          <w:szCs w:val="14"/>
        </w:rPr>
      </w:pPr>
      <w:r>
        <w:rPr>
          <w:rFonts w:eastAsia="HelveticaNeue MediumCond" w:cs="HelveticaNeue MediumCond" w:ascii="HelveticaNeue MediumCond" w:hAnsi="HelveticaNeue MediumCond"/>
          <w:b/>
          <w:bCs/>
          <w:sz w:val="14"/>
          <w:szCs w:val="14"/>
        </w:rPr>
        <w:t>California Public Utilities Commission (CPUC)</w:t>
      </w:r>
    </w:p>
    <w:p>
      <w:pPr>
        <w:pStyle w:val="Normal"/>
        <w:spacing w:lineRule="exact" w:line="180"/>
        <w:ind w:firstLine="360" w:end="144"/>
        <w:rPr>
          <w:rFonts w:ascii="HelveticaNeue MediumCond" w:hAnsi="HelveticaNeue MediumCond" w:eastAsia="HelveticaNeue MediumCond" w:cs="HelveticaNeue MediumCond"/>
          <w:b/>
          <w:bCs/>
          <w:sz w:val="14"/>
          <w:szCs w:val="14"/>
        </w:rPr>
      </w:pPr>
      <w:r>
        <w:rPr>
          <w:rFonts w:eastAsia="HelveticaNeue MediumCond" w:cs="HelveticaNeue MediumCond" w:ascii="HelveticaNeue MediumCond" w:hAnsi="HelveticaNeue MediumCond"/>
          <w:b/>
          <w:bCs/>
          <w:sz w:val="14"/>
          <w:szCs w:val="14"/>
        </w:rPr>
        <w:t>Consumer Affairs</w:t>
      </w:r>
    </w:p>
    <w:p>
      <w:pPr>
        <w:pStyle w:val="Normal"/>
        <w:spacing w:lineRule="exact" w:line="180" w:before="0" w:after="40"/>
        <w:ind w:firstLine="360" w:end="144"/>
        <w:rPr>
          <w:rFonts w:ascii="HelveticaNeue MediumCond" w:hAnsi="HelveticaNeue MediumCond" w:eastAsia="HelveticaNeue MediumCond" w:cs="HelveticaNeue MediumCond"/>
          <w:b/>
          <w:bCs/>
          <w:sz w:val="14"/>
          <w:szCs w:val="14"/>
        </w:rPr>
      </w:pPr>
      <w:r>
        <w:rPr>
          <w:rFonts w:eastAsia="HelveticaNeue MediumCond" w:cs="HelveticaNeue MediumCond" w:ascii="HelveticaNeue MediumCond" w:hAnsi="HelveticaNeue MediumCond"/>
          <w:b/>
          <w:bCs/>
          <w:sz w:val="14"/>
          <w:szCs w:val="14"/>
        </w:rPr>
        <w:t>San Francisco, CA  94102</w:t>
      </w:r>
    </w:p>
    <w:p>
      <w:pPr>
        <w:pStyle w:val="Normal"/>
        <w:spacing w:lineRule="exact" w:line="180" w:before="0" w:after="4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t>To avoid having service turned off if the bill has not been paid, enclose a deposit for the amount of the bill made payable to the CPUC.  If you are unable to pay the amount in dispute, you must inform the CPUC of your inability to pay.  Your service cannot be discontinued for nonpayment of the disputed bill until the CPUC completes its review.  The CPUC will review the basis of the billed amount, communicate the results of its review to the parties and make disbursements of any deposit.</w:t>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t>The CPUC will not, however, accept deposits when the dispute appears to be over matters that do not directly relate to the accuracy of the bill.  Such matters include the quality of a utility’s service, general level of rates, pending rate applications and sources of fuel or power.</w:t>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start="3600"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t xml:space="preserve">                                                                                     </w:t>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r>
    </w:p>
    <w:p>
      <w:pPr>
        <w:pStyle w:val="Normal"/>
        <w:tabs>
          <w:tab w:val="clear" w:pos="720"/>
          <w:tab w:val="left" w:pos="90" w:leader="none"/>
          <w:tab w:val="right" w:pos="4230" w:leader="dot"/>
        </w:tabs>
        <w:spacing w:lineRule="exact" w:line="180"/>
        <w:ind w:end="144"/>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tab/>
      </w:r>
    </w:p>
    <w:p>
      <w:pPr>
        <w:pStyle w:val="Normal"/>
        <w:tabs>
          <w:tab w:val="clear" w:pos="720"/>
          <w:tab w:val="left" w:pos="90" w:leader="none"/>
          <w:tab w:val="right" w:pos="4230" w:leader="dot"/>
        </w:tabs>
        <w:spacing w:lineRule="exact" w:line="180"/>
        <w:ind w:end="144"/>
        <w:jc w:val="center"/>
        <w:rPr>
          <w:rFonts w:ascii="HelveticaNeue MediumCond" w:hAnsi="HelveticaNeue MediumCond" w:eastAsia="HelveticaNeue MediumCond" w:cs="HelveticaNeue MediumCond"/>
          <w:sz w:val="14"/>
          <w:szCs w:val="14"/>
        </w:rPr>
      </w:pPr>
      <w:r>
        <w:rPr>
          <w:rFonts w:eastAsia="HelveticaNeue MediumCond" w:cs="HelveticaNeue MediumCond" w:ascii="HelveticaNeue MediumCond" w:hAnsi="HelveticaNeue MediumCond"/>
          <w:sz w:val="14"/>
          <w:szCs w:val="14"/>
        </w:rPr>
        <w:tab/>
        <w:t xml:space="preserve">                                                                       PAGE 2 OF 3</w:t>
      </w:r>
    </w:p>
    <w:sectPr>
      <w:type w:val="nextPage"/>
      <w:pgSz w:w="12240" w:h="15840"/>
      <w:pgMar w:left="1296" w:right="1296" w:gutter="0" w:header="0" w:top="720" w:footer="0" w:bottom="0"/>
      <w:pgNumType w:fmt="decimal"/>
      <w:cols w:num="2" w:space="360" w:equalWidth="true" w:sep="false"/>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HelveticaNeue MediumCond">
    <w:charset w:val="01"/>
    <w:family w:val="swiss"/>
    <w:pitch w:val="variable"/>
  </w:font>
  <w:font w:name="Univers Cd (W1)">
    <w:charset w:val="01"/>
    <w:family w:val="swiss"/>
    <w:pitch w:val="variable"/>
  </w:font>
  <w:font w:name="ÁnhMinh 1.1">
    <w:charset w:val="01"/>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16"/>
        </w:tabs>
        <w:ind w:start="216" w:hanging="216"/>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216"/>
        </w:tabs>
        <w:ind w:start="216" w:hanging="216"/>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oleObject" Target="embeddings/oleObject1.bin"/><Relationship Id="rId4" Type="http://schemas.openxmlformats.org/officeDocument/2006/relationships/image" Target="media/image2.e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2001-04-13T20:21:00Z</dcterms:created>
  <dc:creator>A Valued Microsoft Customer</dc:creator>
  <dc:description/>
  <dc:language>en-CA</dc:language>
  <cp:lastModifiedBy>RTP1</cp:lastModifiedBy>
  <cp:lastPrinted>2001-04-10T12:02:00Z</cp:lastPrinted>
  <dcterms:modified xsi:type="dcterms:W3CDTF">2001-04-13T20:21:00Z</dcterms:modified>
  <cp:revision>2</cp:revision>
  <dc:subject/>
  <dc:title>Helpful Phone Numbers</dc:title>
</cp:coreProperties>
</file>