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media/image1.wmf" ContentType="image/x-wmf"/>
  <Override PartName="/word/media/image2.wmf" ContentType="image/x-wmf"/>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header16.xml.rels" ContentType="application/vnd.openxmlformats-package.relationships+xml"/>
  <Override PartName="/word/_rels/header7.xml.rels" ContentType="application/vnd.openxmlformats-package.relationships+xml"/>
  <Override PartName="/word/_rels/header18.xml.rels" ContentType="application/vnd.openxmlformats-package.relationships+xml"/>
  <Override PartName="/word/_rels/header20.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_rels/header15.xml.rels" ContentType="application/vnd.openxmlformats-package.relationships+xml"/>
  <Override PartName="/word/_rels/header4.xml.rels" ContentType="application/vnd.openxmlformats-package.relationships+xml"/>
  <Override PartName="/word/_rels/header13.xml.rels" ContentType="application/vnd.openxmlformats-package.relationships+xml"/>
  <Override PartName="/word/_rels/header19.xml.rels" ContentType="application/vnd.openxmlformats-package.relationships+xml"/>
  <Override PartName="/word/_rels/header8.xml.rels" ContentType="application/vnd.openxmlformats-package.relationships+xml"/>
  <Override PartName="/word/_rels/header17.xml.rels" ContentType="application/vnd.openxmlformats-package.relationships+xml"/>
  <Override PartName="/word/_rels/header6.xml.rels" ContentType="application/vnd.openxmlformats-package.relationships+xml"/>
  <Override PartName="/word/_rels/header29.xml.rels" ContentType="application/vnd.openxmlformats-package.relationships+xml"/>
  <Override PartName="/word/_rels/header28.xml.rels" ContentType="application/vnd.openxmlformats-package.relationships+xml"/>
  <Override PartName="/word/_rels/header5.xml.rels" ContentType="application/vnd.openxmlformats-package.relationships+xml"/>
  <Override PartName="/word/_rels/header27.xml.rels" ContentType="application/vnd.openxmlformats-package.relationships+xml"/>
  <Override PartName="/word/_rels/header26.xml.rels" ContentType="application/vnd.openxmlformats-package.relationships+xml"/>
  <Override PartName="/word/_rels/header24.xml.rels" ContentType="application/vnd.openxmlformats-package.relationships+xml"/>
  <Override PartName="/word/_rels/header1.xml.rels" ContentType="application/vnd.openxmlformats-package.relationships+xml"/>
  <Override PartName="/word/_rels/header23.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_rels/header22.xml.rels" ContentType="application/vnd.openxmlformats-package.relationships+xml"/>
  <Override PartName="/word/_rels/header10.xml.rels" ContentType="application/vnd.openxmlformats-package.relationships+xml"/>
  <Override PartName="/word/_rels/header2.xml.rels" ContentType="application/vnd.openxmlformats-package.relationships+xml"/>
  <Override PartName="/word/_rels/header25.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spacing w:lineRule="exact" w:line="200" w:before="0" w:after="200"/>
              <w:ind w:hanging="432" w:start="432" w:end="0"/>
              <w:rPr/>
            </w:pPr>
            <w:r>
              <w:rPr/>
              <w:t>XX.</w:t>
              <w:tab/>
              <w:t>CALIFORNIA PROCUREMENT ADJUSTMENT BALANCING ACCOUNT (CPABA)</w:t>
            </w:r>
          </w:p>
        </w:tc>
        <w:tc>
          <w:tcPr>
            <w:tcW w:w="1008" w:type="dxa"/>
            <w:tcBorders/>
          </w:tcPr>
          <w:p>
            <w:pPr>
              <w:pStyle w:val="EditNotation"/>
              <w:rPr/>
            </w:pPr>
            <w:r>
              <w:rPr/>
              <w:t>(N)</w:t>
              <w:br/>
              <w:t>|</w:t>
            </w:r>
          </w:p>
        </w:tc>
      </w:tr>
      <w:tr>
        <w:trPr/>
        <w:tc>
          <w:tcPr>
            <w:tcW w:w="9000" w:type="dxa"/>
            <w:tcBorders/>
          </w:tcPr>
          <w:p>
            <w:pPr>
              <w:pStyle w:val="Level1"/>
              <w:rPr/>
            </w:pPr>
            <w:r>
              <w:rPr/>
              <w:t>1.</w:t>
              <w:tab/>
              <w:t>PURPOSE:  The purpose of the CPABA is to determine the monthly portion of PG&amp;E’s retail rates available to provide to the Department of Water Resources (DWR) that is equal to the generation-related component of PG&amp;E’s bundled retail rates less the costs of PG&amp;E’s own generation, qualifying facility (QF) contracts, existing bilateral contracts, and ancillary services, as established by Public Utilities Code Section 360.5.  If the CPABA end of month balance is an overcollection, the balance equal to the California Procurement Adjustment (CPA) amount shall be transferred to DWR for deposit in the DWR Electric Power Fund, established by Section 80200 of the Water Code.  If the CPABA end of month balance is an undercollection, the balance shall remain in the CPABA until offset by subsequent month(s) CPABA overcollections.</w:t>
            </w:r>
          </w:p>
          <w:p>
            <w:pPr>
              <w:pStyle w:val="Level1"/>
              <w:rPr/>
            </w:pPr>
            <w:r>
              <w:rPr/>
              <w:t>2.</w:t>
              <w:tab/>
              <w:t xml:space="preserve">APPLICABILITY:  The CPABA shall apply to all customer bills for service under all rate schedules and contracts for electric service subject to the jurisdiction of the California Public Utilities Commission (CPUC). </w:t>
            </w:r>
          </w:p>
          <w:p>
            <w:pPr>
              <w:pStyle w:val="Level1"/>
              <w:rPr/>
            </w:pPr>
            <w:r>
              <w:rPr/>
              <w:t>3.</w:t>
              <w:tab/>
              <w:t xml:space="preserve">EFFECTIVE DATE:  The CPABA becomes effective on the date the CPUC approves an interim CPA decision in the Rate Stabilization Plan (RSP) proceeding (PG&amp;E Application 00-11-056). </w:t>
            </w:r>
          </w:p>
          <w:p>
            <w:pPr>
              <w:pStyle w:val="Level1"/>
              <w:rPr/>
            </w:pPr>
            <w:r>
              <w:rPr/>
              <w:t>4.</w:t>
              <w:tab/>
              <w:t xml:space="preserve">REVISION DATE:  The revision date for the rates applicable to the CPABA shall be determined in the RSP, Revenue Adjustment Proceeding (RAP) or other proceeding authorized by the CPUC. </w:t>
            </w:r>
          </w:p>
          <w:p>
            <w:pPr>
              <w:pStyle w:val="Level1"/>
              <w:rPr/>
            </w:pPr>
            <w:r>
              <w:rPr/>
              <w:t>5.</w:t>
              <w:tab/>
              <w:t xml:space="preserve">RATE:  The CPABA applicable rates are the Generation Rate and the Emergency Procurement Surcharge (EPS).  The Generation Rate is included in effective rates set forth in each rate schedule.  The EPS is set forth in Schedule E-EPS. </w:t>
            </w:r>
          </w:p>
          <w:p>
            <w:pPr>
              <w:pStyle w:val="Level1"/>
              <w:rPr/>
            </w:pPr>
            <w:r>
              <w:rPr/>
              <w:t>6.</w:t>
              <w:tab/>
              <w:t>ACCOUNTING PROCEDURE:  PG&amp;E shall make entries to this account at the end of each month as follows:</w:t>
            </w:r>
          </w:p>
          <w:p>
            <w:pPr>
              <w:pStyle w:val="Level2"/>
              <w:rPr/>
            </w:pPr>
            <w:r>
              <w:rPr/>
              <w:t>a.</w:t>
              <w:tab/>
              <w:t>The generation-related component of the bundled retail rate with adjustments shall consist of:</w:t>
            </w:r>
          </w:p>
          <w:p>
            <w:pPr>
              <w:pStyle w:val="Level3"/>
              <w:rPr/>
            </w:pPr>
            <w:r>
              <w:rPr/>
              <w:t>1)</w:t>
              <w:tab/>
              <w:t xml:space="preserve">A credit entry equal to gross generation revenue received from the Generation Rate and the EPS, excluding an allowance for franchise fees and uncollectibles (FF&amp;U) accounts expense at the rate authorized in PG&amp;E’s most recent General Rate Case (GRC); </w:t>
            </w:r>
          </w:p>
          <w:p>
            <w:pPr>
              <w:pStyle w:val="Level3"/>
              <w:rPr/>
            </w:pPr>
            <w:r>
              <w:rPr/>
              <w:t>2)</w:t>
              <w:tab/>
              <w:t xml:space="preserve">A debit entry equal to the direct access credit, excluding an allowance for FF&amp;U accounts expense at the rate authorized in PG&amp;E’s most recent GRC; </w:t>
            </w:r>
          </w:p>
          <w:p>
            <w:pPr>
              <w:pStyle w:val="Level3"/>
              <w:rPr/>
            </w:pPr>
            <w:r>
              <w:rPr/>
              <w:t>3)</w:t>
              <w:tab/>
              <w:t xml:space="preserve">A debit or credit entry equal to the CPUC jurisdictional remaining transition costs and credits; </w:t>
            </w:r>
          </w:p>
          <w:p>
            <w:pPr>
              <w:pStyle w:val="Level3"/>
              <w:rPr/>
            </w:pPr>
            <w:r>
              <w:rPr/>
              <w:t>4)</w:t>
              <w:tab/>
              <w:t xml:space="preserve">A credit entry equal to the imputed 10 percent rate reduction revenue, excluding an allowance for FF&amp;U accounts expense at the rate authorized in PG&amp;E’s most recent GRC; and </w:t>
            </w:r>
          </w:p>
          <w:p>
            <w:pPr>
              <w:pStyle w:val="Level3"/>
              <w:rPr/>
            </w:pPr>
            <w:r>
              <w:rPr/>
              <w:t>5)</w:t>
              <w:tab/>
              <w:t>A credit entry equal to the recorded Fixed Transition Amount (FTA) revenue, excluding an allowance for FF&amp;U accounts expense at the rate authorized in PG&amp;E’s most recent GRC.</w:t>
            </w:r>
          </w:p>
          <w:p>
            <w:pPr>
              <w:pStyle w:val="Level2"/>
              <w:rPr/>
            </w:pPr>
            <w:r>
              <w:rPr/>
              <w:t>b.</w:t>
              <w:tab/>
              <w:t xml:space="preserve">PG&amp;E’s owned generation costs shall consist of: </w:t>
            </w:r>
          </w:p>
          <w:p>
            <w:pPr>
              <w:pStyle w:val="Level3"/>
              <w:spacing w:before="0" w:after="0"/>
              <w:rPr/>
            </w:pPr>
            <w:r>
              <w:rPr/>
              <w:t>1)</w:t>
              <w:tab/>
              <w:t>A debit entry equal to the CPUC jurisdictional hydroelectric generation assets (including directly assigned or shared common and general plant) monthly revenue requirement, net of FF&amp;U, including capital costs for depreciation, taxes and return on investment, operating and maintenance (O&amp;M) and administrative and general (A&amp;G) expenses; congestion charges incurred by PG&amp;E, scheduling and dispatch expenses; and less Independent System Operator (ISO) revenues from reliability must-run (RMR) contracts;</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2">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XX.</w:t>
              <w:tab/>
              <w:t>CALIFORNIA PROCUREMENT ADJUSTMENT BALANCING ACCOUNT (CPABA)  (Cont’d.)</w:t>
            </w:r>
          </w:p>
        </w:tc>
        <w:tc>
          <w:tcPr>
            <w:tcW w:w="1008" w:type="dxa"/>
            <w:tcBorders/>
          </w:tcPr>
          <w:p>
            <w:pPr>
              <w:pStyle w:val="EditNotation"/>
              <w:rPr/>
            </w:pPr>
            <w:r>
              <w:rPr/>
              <w:t>(N)</w:t>
              <w:br/>
              <w:t>|</w:t>
            </w:r>
          </w:p>
        </w:tc>
      </w:tr>
      <w:tr>
        <w:trPr/>
        <w:tc>
          <w:tcPr>
            <w:tcW w:w="9000" w:type="dxa"/>
            <w:tcBorders/>
          </w:tcPr>
          <w:p>
            <w:pPr>
              <w:pStyle w:val="Level1"/>
              <w:rPr/>
            </w:pPr>
            <w:r>
              <w:rPr/>
              <w:t>6.</w:t>
              <w:tab/>
              <w:t>ACCOUNTING PROCEDURE:  (Cont’d.)</w:t>
            </w:r>
          </w:p>
          <w:p>
            <w:pPr>
              <w:pStyle w:val="Level2"/>
              <w:rPr/>
            </w:pPr>
            <w:r>
              <w:rPr/>
              <w:t>b.</w:t>
              <w:tab/>
              <w:t>(Cont’d.)</w:t>
            </w:r>
          </w:p>
          <w:p>
            <w:pPr>
              <w:pStyle w:val="Level3"/>
              <w:rPr/>
            </w:pPr>
            <w:r>
              <w:rPr/>
              <w:t>2)</w:t>
              <w:tab/>
              <w:t xml:space="preserve">A debit entry equal to CPUC jurisdictional fossil generation assets (including directly assigned or shared common and general plant) monthly revenue requirement, net of FF&amp;U, including capital costs for depreciation, taxes and return on investment, O&amp;M and A&amp;G expenses; congestion charges incurred by PG&amp;E; scheduling and dispatch costs; and less ISO revenues from RMR contracts; and </w:t>
            </w:r>
          </w:p>
          <w:p>
            <w:pPr>
              <w:pStyle w:val="Level3"/>
              <w:rPr/>
            </w:pPr>
            <w:r>
              <w:rPr/>
              <w:t>3)</w:t>
              <w:tab/>
              <w:t>A debit entry equal to CPUC jurisdictional Diablo Canyon authorized monthly amount for recovery of operating costs, net of FF&amp;U, based on the Incremental Cost Incentive Price (ICIP) times net generation; congestion charges incurred by PG&amp;E, scheduling and dispatch costs; and one time income tax credits due to tax timing differences in accordance with Decision 07-05-088.</w:t>
            </w:r>
          </w:p>
          <w:p>
            <w:pPr>
              <w:pStyle w:val="Level2"/>
              <w:rPr/>
            </w:pPr>
            <w:r>
              <w:rPr/>
              <w:t>c.</w:t>
              <w:tab/>
              <w:t>A debit entry equal to CPUC jurisdictional QF energy, capacity and contract restructuring payments; congestion charges incurred by PG&amp;E, administrative, legal, and scheduling and dispatch costs; settlements and judgments; and shareholder savings.</w:t>
            </w:r>
          </w:p>
          <w:p>
            <w:pPr>
              <w:pStyle w:val="Level2"/>
              <w:rPr/>
            </w:pPr>
            <w:r>
              <w:rPr/>
              <w:t>d.</w:t>
              <w:tab/>
              <w:t>A debit entry equal to CPUC jurisdictional irrigation districts and other purchase power agreement costs, including Firm Transmission Rights; congestion charges incurred by PG&amp;E, block forward market contract costs; bilateral contract costs; and administrative, legal, and scheduling and dispatch costs.</w:t>
            </w:r>
          </w:p>
          <w:p>
            <w:pPr>
              <w:pStyle w:val="Level2"/>
              <w:rPr/>
            </w:pPr>
            <w:r>
              <w:rPr/>
              <w:t>e.</w:t>
              <w:tab/>
              <w:t>A debit entry equal to CPUC jurisdictional ISO ancillary services and any other ISO related charges or credits, including, but not limited to, PG&amp;E’s pro-rata share of ISO ancillary services for the portion of bundled load that PG&amp;E can satisfy with its own resources.  This amount will be offset by ISO ancillary service revenues, if any, for PG&amp;E resources.  Ancillary services as defined by FERC consist of spinning reserve, non-spinning reserve, and regulation.  Except for PG&amp;E’s pro-rata share of ancillary services and congestion charges to PG&amp;E, all other ISO charges such as replacement reserve, grid management charges, unaccounted for energy, imbalance energy, underscheduling penalty, ancillary services related to PG&amp;E’s net open position (i.e., that portion of PG&amp;E bundled load that is not met by PG&amp;E resources), neutrality, etc., are the responsibility of DWR.  If DWR does not pay for any of these ISO-related charges and such charges are determined to be PG&amp;E’s responsibility, then the costs of such charges will be added to this debit entry.</w:t>
            </w:r>
          </w:p>
          <w:p>
            <w:pPr>
              <w:pStyle w:val="Level2"/>
              <w:rPr/>
            </w:pPr>
            <w:r>
              <w:rPr/>
              <w:t>f.</w:t>
              <w:tab/>
              <w:t>A debit entry, if the sum of the beginning of the month balance and the entries above is a credit, to transfer that sum to the DWR Electric Power Fund.</w:t>
            </w:r>
          </w:p>
          <w:p>
            <w:pPr>
              <w:pStyle w:val="Level2"/>
              <w:spacing w:before="0" w:after="200"/>
              <w:ind w:hanging="432" w:start="1296" w:end="0"/>
              <w:rPr/>
            </w:pPr>
            <w:r>
              <w:rPr/>
              <w:t>g.</w:t>
              <w:tab/>
              <w:t>If the sum of the end of month balance and the entries above is a debit, a debit entry equal to the interest on the average balance in the account at the beginning of the month and the balance after the above entries, at a rate equal to one-twelfth of the interest rate on three-month Commercial Paper for the previous month, as reported in the Federal Reserve Statistical Release, G. 13 or its successor.</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r>
          </w:p>
          <w:p>
            <w:pPr>
              <w:pStyle w:val="EditNotation"/>
              <w:rPr/>
            </w:pPr>
            <w:r>
              <w:rP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PrelimTitle"/>
              <w:pageBreakBefore/>
              <w:spacing w:lineRule="exact" w:line="200" w:before="0" w:after="200"/>
              <w:ind w:hanging="432" w:start="432" w:end="0"/>
              <w:rPr/>
            </w:pPr>
            <w:r>
              <w:rPr/>
              <w:t>L.</w:t>
              <w:tab/>
              <w:t>ELECTRIC RESTRUCTURING COSTS ACCOUNT (ERCA)</w:t>
            </w:r>
          </w:p>
        </w:tc>
        <w:tc>
          <w:tcPr>
            <w:tcW w:w="1022" w:type="dxa"/>
            <w:gridSpan w:val="2"/>
            <w:tcBorders/>
          </w:tcPr>
          <w:p>
            <w:pPr>
              <w:pStyle w:val="PrelimTitle"/>
              <w:snapToGrid w:val="false"/>
              <w:spacing w:before="0" w:after="0"/>
              <w:ind w:hanging="0" w:start="0" w:end="0"/>
              <w:jc w:val="center"/>
              <w:rPr/>
            </w:pPr>
            <w:r>
              <w:rPr/>
            </w:r>
          </w:p>
        </w:tc>
      </w:tr>
      <w:tr>
        <w:trPr/>
        <w:tc>
          <w:tcPr>
            <w:tcW w:w="9000" w:type="dxa"/>
            <w:gridSpan w:val="2"/>
            <w:tcBorders/>
          </w:tcPr>
          <w:p>
            <w:pPr>
              <w:pStyle w:val="Level1"/>
              <w:rPr/>
            </w:pPr>
            <w:r>
              <w:rPr/>
              <w:t>1.</w:t>
              <w:tab/>
              <w:t>PURPOSE:  The purpose of the ERCA is to record and recover restructuring costs incurred as the result of a new program or activity prescribed by the California Public Utilities Commission (CPUC or Commission) or Federal Energy Regulatory Commission (FERC) order, mandate, or requirement or were removed from consideration in PG&amp;E’s 1999 General Rate Case application pursuant to Commission determination.  Costs eligible to be recorded in the ERCA pursuant to Decision (D.) 99-05-031 are defined below.</w:t>
            </w:r>
          </w:p>
          <w:p>
            <w:pPr>
              <w:pStyle w:val="Level1"/>
              <w:rPr>
                <w:u w:val="single"/>
              </w:rPr>
            </w:pPr>
            <w:r>
              <w:rPr/>
              <w:t>2.</w:t>
              <w:tab/>
              <w:t>DEFINITIONS</w:t>
            </w:r>
          </w:p>
          <w:p>
            <w:pPr>
              <w:pStyle w:val="Level1Sub"/>
              <w:rPr/>
            </w:pPr>
            <w:r>
              <w:rPr/>
              <w:t>As discussed in D. 99-05-031, the restructuring implementation costs are separated into two categories:  the Externally Managed Restructuring Costs* and the Internally Managed Restructuring Costs. The Internally Managed Restructuring Costs are recorded costs, which incurred as of January 1, 1999, for all other restructuring programs not included in the Externally Managed Restructuring Costs, primarily the costs of direct access implementation, unrecovered existing wholesale contract assessments from the Independent System Operator (ISO) and Power Exchange (PX), and PX bidding and settlement systems.</w:t>
            </w:r>
          </w:p>
          <w:p>
            <w:pPr>
              <w:pStyle w:val="Level2"/>
              <w:rPr/>
            </w:pPr>
            <w:r>
              <w:rPr/>
              <w:t>a.</w:t>
              <w:tab/>
              <w:t>Internally Managed Restructuring Costs recoverable through the ERCA include the following:</w:t>
            </w:r>
          </w:p>
          <w:p>
            <w:pPr>
              <w:pStyle w:val="Level3"/>
              <w:rPr/>
            </w:pPr>
            <w:r>
              <w:rPr/>
              <w:t>1)</w:t>
              <w:tab/>
              <w:t xml:space="preserve">Internally Managed Restructuring Costs associated with restructuring programs and activities which were included by PG&amp;E in its forecast of costs in its 1999 General Rate Case (GRC), Application 97-12-020, but were subsequently removed from consideration in the GRC pursuant to CPUC determination. </w:t>
            </w:r>
          </w:p>
          <w:p>
            <w:pPr>
              <w:pStyle w:val="Level3"/>
              <w:rPr/>
            </w:pPr>
            <w:r>
              <w:rPr/>
              <w:t>2)</w:t>
              <w:tab/>
              <w:t>Any Internally Managed Restructuring Costs incurred as a result of implementing a new program or activity prescribed by Commission or FERC order, mandate or requirement;</w:t>
            </w:r>
          </w:p>
          <w:p>
            <w:pPr>
              <w:pStyle w:val="Level3Sub"/>
              <w:rPr/>
            </w:pPr>
            <w:r>
              <w:rPr/>
              <w:t>For each of those programs in which the expected total expenditures exceed $1 million in the program’s first 12 months, PG&amp;E will submit an application or advice letter to seek prior approval from the Commission to record costs associated with the program in the ERCA.  PG&amp;E will also include an estimate of total expenditures and an explanation of why such program was unanticipated or not included in another proceeding.  No costs related to the program shall be recorded in the ERCA until a Commission decision or resolution has been issued on PG&amp;E’s application or advice letter.  If an advice letter is filed by PG&amp;E, the protest period associated with the advice letter filing will be extended from 20 to 30 days.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r>
        <w:trPr/>
        <w:tc>
          <w:tcPr>
            <w:tcW w:w="9000" w:type="dxa"/>
            <w:gridSpan w:val="2"/>
            <w:tcBorders/>
            <w:tcMar>
              <w:start w:w="0" w:type="dxa"/>
              <w:end w:w="0" w:type="dxa"/>
            </w:tcMar>
          </w:tcPr>
          <w:p>
            <w:pPr>
              <w:pStyle w:val="FootnoteText"/>
              <w:rPr/>
            </w:pPr>
            <w:r>
              <w:rPr/>
              <w:t>_______________</w:t>
            </w:r>
          </w:p>
          <w:p>
            <w:pPr>
              <w:pStyle w:val="FootnoteText"/>
              <w:spacing w:lineRule="exact" w:line="200" w:before="0" w:after="200"/>
              <w:ind w:hanging="432" w:start="432" w:end="0"/>
              <w:rPr/>
            </w:pPr>
            <w:r>
              <w:rPr/>
              <w:t>*</w:t>
              <w:tab/>
              <w:t xml:space="preserve">The Externally Managed Restructuring Costs consist of:  1) FERC-approved ISO costs recorded as part of procurement-related costs in the California Procurement Adjustment Balancing Account (CPABA), as defined in Part XX of PG&amp;E’s electric Preliminary Statement, and 2) Commission-approved Consumer Education Program (CEP) and Electric Education Trust (EET) costs recorded in the Distribution Revenue Adjustment Mechanism (DRAM), as defined in Part CA of PG&amp;E’s electric Preliminary Statement.  </w:t>
            </w:r>
          </w:p>
        </w:tc>
        <w:tc>
          <w:tcPr>
            <w:tcW w:w="1008" w:type="dxa"/>
            <w:tcBorders/>
            <w:tcMar>
              <w:start w:w="0" w:type="dxa"/>
              <w:end w:w="0" w:type="dxa"/>
            </w:tcMar>
          </w:tcPr>
          <w:p>
            <w:pPr>
              <w:pStyle w:val="EditNotation"/>
              <w:snapToGrid w:val="false"/>
              <w:rPr/>
            </w:pPr>
            <w:r>
              <w:rPr/>
            </w:r>
          </w:p>
          <w:p>
            <w:pPr>
              <w:pStyle w:val="EditNotation"/>
              <w:rPr/>
            </w:pPr>
            <w:r>
              <w:rPr/>
            </w:r>
          </w:p>
          <w:p>
            <w:pPr>
              <w:pStyle w:val="EditNotation"/>
              <w:rPr/>
            </w:pPr>
            <w:r>
              <w:rPr/>
            </w:r>
          </w:p>
          <w:p>
            <w:pPr>
              <w:pStyle w:val="EditNotation"/>
              <w:rPr/>
            </w:pPr>
            <w:r>
              <w:rPr/>
              <w:t>(T)</w:t>
            </w:r>
          </w:p>
          <w:p>
            <w:pPr>
              <w:pStyle w:val="EditNotation"/>
              <w:rPr/>
            </w:pPr>
            <w:r>
              <w:rPr/>
              <w:t>|</w:t>
            </w:r>
          </w:p>
          <w:p>
            <w:pPr>
              <w:pStyle w:val="EditNotation"/>
              <w:rPr/>
            </w:pPr>
            <w:r>
              <w:rPr/>
              <w:t>|</w:t>
            </w:r>
          </w:p>
          <w:p>
            <w:pPr>
              <w:pStyle w:val="EditNotation"/>
              <w:rPr/>
            </w:pPr>
            <w:r>
              <w:rPr/>
              <w:t>(T)</w:t>
            </w:r>
          </w:p>
          <w:p>
            <w:pPr>
              <w:pStyle w:val="EditNotation"/>
              <w:rPr/>
            </w:pPr>
            <w:r>
              <w:rPr/>
              <w:t>(D)</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3">
                <wp:simplePos x="0" y="0"/>
                <wp:positionH relativeFrom="page">
                  <wp:posOffset>6400800</wp:posOffset>
                </wp:positionH>
                <wp:positionV relativeFrom="page">
                  <wp:posOffset>8869680</wp:posOffset>
                </wp:positionV>
                <wp:extent cx="914400" cy="228600"/>
                <wp:effectExtent l="0" t="0" r="0" b="0"/>
                <wp:wrapNone/>
                <wp:docPr id="12"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PrelimTitle"/>
              <w:pageBreakBefore/>
              <w:spacing w:lineRule="exact" w:line="200" w:before="0" w:after="200"/>
              <w:ind w:hanging="432" w:start="432" w:end="0"/>
              <w:rPr/>
            </w:pPr>
            <w:r>
              <w:rPr/>
              <w:t>L.</w:t>
              <w:tab/>
              <w:t>ELECTRIC RESTRUCTURING COSTS ACCOUNT (ERCA) (Cont’d.)</w:t>
            </w:r>
          </w:p>
        </w:tc>
        <w:tc>
          <w:tcPr>
            <w:tcW w:w="1022" w:type="dxa"/>
            <w:gridSpan w:val="2"/>
            <w:tcBorders/>
          </w:tcPr>
          <w:p>
            <w:pPr>
              <w:pStyle w:val="PrelimTitle"/>
              <w:snapToGrid w:val="false"/>
              <w:spacing w:before="0" w:after="0"/>
              <w:ind w:firstLine="14" w:start="0" w:end="0"/>
              <w:jc w:val="center"/>
              <w:rPr/>
            </w:pPr>
            <w:r>
              <w:rPr/>
            </w:r>
          </w:p>
        </w:tc>
      </w:tr>
      <w:tr>
        <w:trPr/>
        <w:tc>
          <w:tcPr>
            <w:tcW w:w="9000" w:type="dxa"/>
            <w:gridSpan w:val="2"/>
            <w:tcBorders/>
          </w:tcPr>
          <w:p>
            <w:pPr>
              <w:pStyle w:val="Level1"/>
              <w:rPr/>
            </w:pPr>
            <w:r>
              <w:rPr/>
              <w:t>2.</w:t>
              <w:tab/>
              <w:t>DEFINITIONS (Cont’d.)</w:t>
            </w:r>
          </w:p>
          <w:p>
            <w:pPr>
              <w:pStyle w:val="Level2"/>
              <w:rPr/>
            </w:pPr>
            <w:r>
              <w:rPr/>
              <w:t>a.</w:t>
              <w:tab/>
              <w:t>(Cont’d.)</w:t>
            </w:r>
          </w:p>
          <w:p>
            <w:pPr>
              <w:pStyle w:val="Level3"/>
              <w:rPr/>
            </w:pPr>
            <w:r>
              <w:rPr/>
              <w:t>2)</w:t>
              <w:tab/>
              <w:t>(Cont’d.)</w:t>
            </w:r>
          </w:p>
          <w:p>
            <w:pPr>
              <w:pStyle w:val="Level3Sub"/>
              <w:rPr/>
            </w:pPr>
            <w:r>
              <w:rPr/>
              <w:t>For each of those programs in which the expected total expenditures are under $1 million in the program’s first 12 months, PG&amp;E will not need to seek prior Commission approval before recording costs associated with the program in the ERCA.  PG&amp;E will submit an application or advice letter to seek approval from the Commission to record costs associated with the program in the ERCA.  PG&amp;E will also include an estimate of total expenditures and an explanation of why such program was unanticipated or not included in another proceeding.  PG&amp;E would be required to reverse any ERCA entries if the Commission later does not authorize such ERCA entries for the program.  If an advice letter is filed by PG&amp;E, the protest period associated with the advice letter filing will be extended from 20 to 30 days.</w:t>
            </w:r>
          </w:p>
          <w:p>
            <w:pPr>
              <w:pStyle w:val="Level2"/>
              <w:rPr/>
            </w:pPr>
            <w:r>
              <w:rPr/>
              <w:t>b.</w:t>
              <w:tab/>
              <w:t>Costs associated with ISO Grid Management Charges and PX Administrative Charges, commencing January 1, 1999, that PG&amp;E incurs as scheduling coordinator for municipal utilities and governmental agencies under pre-existing wholesale transmission service contracts which FERC does not allow PG&amp;E to pass on to the contract holders.</w:t>
            </w:r>
          </w:p>
          <w:p>
            <w:pPr>
              <w:pStyle w:val="Level1"/>
              <w:rPr/>
            </w:pPr>
            <w:r>
              <w:rPr/>
              <w:t>3.</w:t>
              <w:tab/>
              <w:t>APPLICABILITY:  The ERCA shall apply to all customer classes, except for those specifically excluded by the Commission.</w:t>
            </w:r>
          </w:p>
          <w:p>
            <w:pPr>
              <w:pStyle w:val="Level1"/>
              <w:rPr/>
            </w:pPr>
            <w:r>
              <w:rPr/>
              <w:t>4.</w:t>
              <w:tab/>
              <w:t>ERCA RATES:  The ERCA does not currently have a rate component.</w:t>
            </w:r>
          </w:p>
          <w:p>
            <w:pPr>
              <w:pStyle w:val="Level1"/>
              <w:rPr/>
            </w:pPr>
            <w:r>
              <w:rPr/>
              <w:t>5.</w:t>
              <w:tab/>
              <w:t>ACCOUNTING PROCEDURE:  PG&amp;E shall record the following entries to this account at the end of each month as follows:</w:t>
            </w:r>
          </w:p>
          <w:p>
            <w:pPr>
              <w:pStyle w:val="Level2"/>
              <w:rPr/>
            </w:pPr>
            <w:r>
              <w:rPr/>
              <w:t>a.</w:t>
              <w:tab/>
              <w:t>A debit entry equal to the Internally Managed Restructuring Costs (expense and capital-related costs) associated with restructuring programs and activities that were removed from PG&amp;E’s 1999 GRC application, upon a decision or resolution from the Commission authorizing PG&amp;E to record the costs related to those programs and activities;</w:t>
            </w:r>
          </w:p>
          <w:p>
            <w:pPr>
              <w:pStyle w:val="Level2"/>
              <w:numPr>
                <w:ilvl w:val="0"/>
                <w:numId w:val="4"/>
              </w:numPr>
              <w:rPr/>
            </w:pPr>
            <w:r>
              <w:rPr/>
              <w:t>A debit entry equal to the costs (expense and capital-related costs) associated with any new program in which the expected total expenditures exceed $1 million over the program’s first 12 months, upon a decision or resolution from the Commission authorizing PG&amp;E to implement the new program;</w:t>
            </w:r>
          </w:p>
          <w:p>
            <w:pPr>
              <w:pStyle w:val="Level2"/>
              <w:rPr/>
            </w:pPr>
            <w:r>
              <w:rPr/>
              <w:t>c.</w:t>
              <w:tab/>
              <w:t>A debit entry equal to the costs (expense and capital-related costs) associated with any new program in which the expected total expenditures are under $1 million in the program’s first 12 months.  However, PG&amp;E would be required to reverse these ERCA entries if the Commission later does not authorize these expenditures for the new program;</w:t>
            </w:r>
          </w:p>
          <w:p>
            <w:pPr>
              <w:pStyle w:val="Level2"/>
              <w:spacing w:before="0" w:after="200"/>
              <w:rPr/>
            </w:pPr>
            <w:r>
              <w:rPr/>
              <w:t>d.</w:t>
              <w:tab/>
              <w:t>A debit entry equal to the costs associated with ISO Grid Management Charges and PX Administrative Charges that PG&amp;E incurs, and is unable to recover, as a scheduling coordinator under the existing wholesale transmission service contracts; and</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4">
                <wp:simplePos x="0" y="0"/>
                <wp:positionH relativeFrom="page">
                  <wp:posOffset>6400800</wp:posOffset>
                </wp:positionH>
                <wp:positionV relativeFrom="page">
                  <wp:posOffset>8869680</wp:posOffset>
                </wp:positionV>
                <wp:extent cx="914400" cy="228600"/>
                <wp:effectExtent l="0" t="0" r="0" b="0"/>
                <wp:wrapNone/>
                <wp:docPr id="15"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PrelimTitle"/>
              <w:pageBreakBefore/>
              <w:spacing w:lineRule="exact" w:line="200" w:before="0" w:after="200"/>
              <w:ind w:hanging="432" w:start="432" w:end="0"/>
              <w:rPr/>
            </w:pPr>
            <w:r>
              <w:rPr/>
              <w:t>L.</w:t>
              <w:tab/>
              <w:t>ELECTRIC RESTRUCTURING COSTS ACCOUNT (ERCA) (Cont’d.)</w:t>
            </w:r>
          </w:p>
        </w:tc>
        <w:tc>
          <w:tcPr>
            <w:tcW w:w="1022" w:type="dxa"/>
            <w:gridSpan w:val="2"/>
            <w:tcBorders/>
          </w:tcPr>
          <w:p>
            <w:pPr>
              <w:pStyle w:val="EditNotation"/>
              <w:snapToGrid w:val="false"/>
              <w:rPr/>
            </w:pPr>
            <w:r>
              <w:rPr/>
            </w:r>
          </w:p>
          <w:p>
            <w:pPr>
              <w:pStyle w:val="EditNotation"/>
              <w:rPr/>
            </w:pPr>
            <w:r>
              <w:rPr/>
              <w:t>(L)</w:t>
            </w:r>
          </w:p>
        </w:tc>
      </w:tr>
      <w:tr>
        <w:trPr/>
        <w:tc>
          <w:tcPr>
            <w:tcW w:w="9000" w:type="dxa"/>
            <w:gridSpan w:val="2"/>
            <w:tcBorders/>
          </w:tcPr>
          <w:p>
            <w:pPr>
              <w:pStyle w:val="Level1"/>
              <w:rPr/>
            </w:pPr>
            <w:r>
              <w:rPr/>
              <w:t>5.</w:t>
              <w:tab/>
              <w:t>ACCOUNTING PROCEDURE:  (Cont’d.)</w:t>
            </w:r>
          </w:p>
          <w:p>
            <w:pPr>
              <w:pStyle w:val="Level2"/>
              <w:rPr/>
            </w:pPr>
            <w:r>
              <w:rPr/>
              <w:t>e.</w:t>
              <w:tab/>
              <w:t>Interest will accrue to the account based on the average of the balance at the beginning of the month and the balance at the end of the month equal to one-twelfth the interest rate on three-month Commercial Paper for the previous month, as reported in the Federal Reserve Statistical Release, G. 13 of its successor.</w:t>
            </w:r>
          </w:p>
          <w:p>
            <w:pPr>
              <w:pStyle w:val="Level1Sub"/>
              <w:spacing w:before="0" w:after="200"/>
              <w:ind w:hanging="0" w:start="864" w:end="0"/>
              <w:rPr/>
            </w:pPr>
            <w:r>
              <w:rPr/>
              <w:t>PG&amp;E will seek recovery of the balance in the ERCA through a separate application, or by any other means deemed appropriate by the Commission.  This separate application will explain the reasonableness of the entries made in the ERCA.  As a result, the portion of the ERCA balance which the Commission finds reasonable and which has been authorized by the Commission will be recoverable in rates.</w:t>
            </w:r>
          </w:p>
        </w:tc>
        <w:tc>
          <w:tcPr>
            <w:tcW w:w="1008" w:type="dxa"/>
            <w:tcBorders/>
          </w:tcPr>
          <w:p>
            <w:pPr>
              <w:pStyle w:val="EditNotation"/>
              <w:snapToGrid w:val="false"/>
              <w:rPr/>
            </w:pPr>
            <w:r>
              <w:rPr/>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N.</w:t>
              <w:tab/>
              <w:t>TRANSITION REVENUE ACCOUNT (TRA)</w:t>
            </w:r>
          </w:p>
        </w:tc>
      </w:tr>
      <w:tr>
        <w:trPr/>
        <w:tc>
          <w:tcPr>
            <w:tcW w:w="9000" w:type="dxa"/>
            <w:tcBorders/>
          </w:tcPr>
          <w:p>
            <w:pPr>
              <w:pStyle w:val="Level1"/>
              <w:rPr/>
            </w:pPr>
            <w:r>
              <w:rPr/>
              <w:t>1.</w:t>
              <w:tab/>
              <w:t>PURPOSE:  The purpose of the Transition Revenue Account (TRA) is to match the amount of billed revenues, excluding the Emergency Procurement Surcharge (EPS) revenues as defined in Schedule E-EPS pursuant to Decision 01-01-018, against the amount of the separated revenue requirement and Commission</w:t>
              <w:noBreakHyphen/>
              <w:t>approved obligations.  This matching process facilitates determination of billed Competition Transition Charge (CTC) revenues, which will be transferred to the Transition Cost Balancing Account (TCBA).  Separated revenue requirement consists of transmission, distribution, public purpose programs, and nuclear decommissioning.  Commission</w:t>
              <w:noBreakHyphen/>
              <w:t>approved obligations consist of Independent System Operator (ISO) charges, Power Exchange charges incurred prior to January 4, 2001, any undercollection in the EPSBA (electric Preliminary Statement Part AM) and Diablo Canyon</w:t>
              <w:noBreakHyphen/>
              <w:t>related ICIP exclusions.  In addition, pursuant to Decision 99-05-031 (Finding Of Fact 6; Conclusion Of Law 16), the costs associated with the Consumer Education Program (CEP) and the Electric Education Trust (EET) funded by PG&amp;E will be recorded in the TRA.  PG&amp;E’s costs associated with CEP and EET, up to the amount authorized for PG&amp;E by the CPUC, are recorded in the TRA.  The purpose of the TRA is also to ensure dollar</w:t>
              <w:noBreakHyphen/>
              <w:t>for</w:t>
              <w:noBreakHyphen/>
              <w:t>dollar recovery of distribution, nuclear decommissioning, public purpose program costs, and costs related to the CEP and EET.  The TRA will be in effect until the effective date of the Commission approved interim California Procurement Adjustment Balancing Account (CPABA), electric preliminary statement Part XX.  Entries to the TRA will cease, except for interest and any prior perod adjustments, upon the effective date of the interim CPABA, and the disposition of the undercollected balance accrued in the TRA will be determined in a separate proceeding.</w:t>
            </w:r>
          </w:p>
          <w:p>
            <w:pPr>
              <w:pStyle w:val="Level1"/>
              <w:rPr/>
            </w:pPr>
            <w:r>
              <w:rPr/>
              <w:t>2.</w:t>
              <w:tab/>
              <w:t>APPLICABILITY:  This TRA provision applies to all bills for service under all rate schedules and contracts for electric service subject to the jurisdiction of the Commission, except for those specifically excluded by the Commission.</w:t>
            </w:r>
          </w:p>
          <w:p>
            <w:pPr>
              <w:pStyle w:val="Level1"/>
              <w:rPr/>
            </w:pPr>
            <w:r>
              <w:rPr/>
              <w:t>3.</w:t>
              <w:tab/>
              <w:t xml:space="preserve">TRA SEPARATED REVENUE REQUIREMENT AMOUNTS:  Beginning January 1, 1999, the TRA Separated Revenue Requirement Amounts for Distribution, Public Purpose Programs, and Nuclear Decommissioning shall reflect the 1999 General Rate Case (GRC) decision as adopted in Decision 00-02-046, and any other changes that are authorized by the Commission.  </w:t>
            </w:r>
          </w:p>
          <w:p>
            <w:pPr>
              <w:pStyle w:val="Level1"/>
              <w:rPr/>
            </w:pPr>
            <w:r>
              <w:rPr/>
              <w:t>4.</w:t>
              <w:tab/>
              <w:t xml:space="preserve">REVISIONS:  The TRA Separated Revenue Requirement Amounts are revised annually on January 1, or as authorized by the Commission in a future Revenue Adjustment Proceeding (RAP).  </w:t>
            </w:r>
          </w:p>
          <w:p>
            <w:pPr>
              <w:pStyle w:val="Level1"/>
              <w:rPr/>
            </w:pPr>
            <w:r>
              <w:rPr/>
              <w:t>5.</w:t>
              <w:tab/>
              <w:t>ACCOUNTING PROCEDURE:  PG&amp;E shall maintain the TRA by making entries to this account at the end of each month as follows:</w:t>
            </w:r>
          </w:p>
          <w:p>
            <w:pPr>
              <w:pStyle w:val="Level2"/>
              <w:rPr/>
            </w:pPr>
            <w:r>
              <w:rPr/>
              <w:t>a.</w:t>
              <w:tab/>
              <w:t>A debit entry equal to the recorded revenue for the period from residential and small commercial customers from the Fixed Transition Amount (FTA) charge, as provided for in Decision 97</w:t>
              <w:noBreakHyphen/>
              <w:t>09</w:t>
              <w:noBreakHyphen/>
              <w:t>055 and defined in Part AS of the Preliminary Statement;</w:t>
            </w:r>
          </w:p>
          <w:p>
            <w:pPr>
              <w:pStyle w:val="Level2"/>
              <w:rPr/>
            </w:pPr>
            <w:r>
              <w:rPr/>
              <w:t>b.</w:t>
              <w:tab/>
              <w:t>A credit entry equal to the amount of total recorded CPUC jurisdictional revenue from the sale and/or delivery of electricity during the month, excluding the EPS revenues as defined in Schedule E-EPS;</w:t>
            </w:r>
          </w:p>
          <w:p>
            <w:pPr>
              <w:pStyle w:val="Level2"/>
              <w:rPr/>
            </w:pPr>
            <w:r>
              <w:rPr/>
              <w:t>c.</w:t>
              <w:tab/>
              <w:t>Prior to the date the Commission or its delegate declares to be the start date for direct access, a debit entry equal to the Transmission TRA Separated Revenue Amount divided by twelve;</w:t>
            </w:r>
          </w:p>
          <w:p>
            <w:pPr>
              <w:pStyle w:val="Level2"/>
              <w:spacing w:before="0" w:after="200"/>
              <w:ind w:hanging="432" w:start="1296" w:end="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br/>
              <w:t>|</w:t>
              <w:br/>
              <w:t>|</w:t>
              <w:br/>
              <w:t>|</w:t>
              <w:br/>
              <w:t>(T)</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5">
                <wp:simplePos x="0" y="0"/>
                <wp:positionH relativeFrom="page">
                  <wp:posOffset>6400800</wp:posOffset>
                </wp:positionH>
                <wp:positionV relativeFrom="page">
                  <wp:posOffset>8869680</wp:posOffset>
                </wp:positionV>
                <wp:extent cx="914400" cy="228600"/>
                <wp:effectExtent l="0" t="0" r="0" b="0"/>
                <wp:wrapNone/>
                <wp:docPr id="22"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10008" w:type="dxa"/>
            <w:gridSpan w:val="2"/>
            <w:tcBorders/>
          </w:tcPr>
          <w:p>
            <w:pPr>
              <w:pStyle w:val="PrelimTitle"/>
              <w:pageBreakBefore/>
              <w:spacing w:lineRule="exact" w:line="200" w:before="0" w:after="200"/>
              <w:ind w:hanging="432" w:start="432" w:end="0"/>
              <w:rPr/>
            </w:pPr>
            <w:r>
              <w:rPr/>
              <w:t>N.</w:t>
              <w:tab/>
              <w:t>TRANSITION REVENUE ACCOUNT (TRA)  (Cont’d.)</w:t>
            </w:r>
          </w:p>
        </w:tc>
      </w:tr>
      <w:tr>
        <w:trPr/>
        <w:tc>
          <w:tcPr>
            <w:tcW w:w="8986" w:type="dxa"/>
            <w:tcBorders/>
          </w:tcPr>
          <w:p>
            <w:pPr>
              <w:pStyle w:val="Level1"/>
              <w:rPr/>
            </w:pPr>
            <w:r>
              <w:rPr/>
              <w:t>5.</w:t>
              <w:tab/>
              <w:t>ACCOUNTING PROCEDURE: (Cont’d.):</w:t>
            </w:r>
          </w:p>
          <w:p>
            <w:pPr>
              <w:pStyle w:val="Level2"/>
              <w:rPr/>
            </w:pPr>
            <w:r>
              <w:rPr/>
              <w:t>d.</w:t>
              <w:tab/>
              <w:t>On and after the date the Commission or its delegate declares to be the start date for direct access, a debit entry equal to the Transmission TRA Separated Revenues, based upon rates approved by the Federal Energy Regulatory Commission (FERC);</w:t>
            </w:r>
          </w:p>
          <w:p>
            <w:pPr>
              <w:pStyle w:val="Level2"/>
              <w:tabs>
                <w:tab w:val="clear" w:pos="432"/>
                <w:tab w:val="left" w:pos="1318" w:leader="none"/>
              </w:tabs>
              <w:ind w:hanging="472" w:start="1336" w:end="0"/>
              <w:rPr/>
            </w:pPr>
            <w:r>
              <w:rPr/>
              <w:t>e.</w:t>
              <w:tab/>
              <w:t>A debit entry equal to the annual applicable Distribution TRA Separated Revenue Requirement Amount divided by twelve;</w:t>
            </w:r>
          </w:p>
          <w:p>
            <w:pPr>
              <w:pStyle w:val="Level2"/>
              <w:tabs>
                <w:tab w:val="clear" w:pos="432"/>
                <w:tab w:val="left" w:pos="1318" w:leader="none"/>
              </w:tabs>
              <w:ind w:hanging="472" w:start="1336" w:end="0"/>
              <w:rPr/>
            </w:pPr>
            <w:r>
              <w:rPr/>
              <w:t>f.</w:t>
              <w:tab/>
              <w:t>A debit entry equal to the annual applicable Nuclear Decommissioning TRA Separated Revenue Requirement Amount divided by twelve;</w:t>
            </w:r>
          </w:p>
          <w:p>
            <w:pPr>
              <w:pStyle w:val="Level2"/>
              <w:numPr>
                <w:ilvl w:val="0"/>
                <w:numId w:val="2"/>
              </w:numPr>
              <w:tabs>
                <w:tab w:val="clear" w:pos="432"/>
                <w:tab w:val="left" w:pos="1318" w:leader="none"/>
              </w:tabs>
              <w:rPr/>
            </w:pPr>
            <w:r>
              <w:rPr/>
              <w:t>A debit entry equal to the annual applicable Public Purpose Programs TRA Separated Revenue Requirement Amount divided by twelve;</w:t>
            </w:r>
          </w:p>
          <w:p>
            <w:pPr>
              <w:pStyle w:val="Level2Sub"/>
              <w:numPr>
                <w:ilvl w:val="0"/>
                <w:numId w:val="2"/>
              </w:numPr>
              <w:tabs>
                <w:tab w:val="clear" w:pos="432"/>
                <w:tab w:val="left" w:pos="1318" w:leader="none"/>
              </w:tabs>
              <w:rPr/>
            </w:pPr>
            <w:r>
              <w:rPr/>
              <w:t>A debit entry equal to the amount recorded for FERC-authorized ISO charges for transmission support, exclusive of charges in Item d;</w:t>
            </w:r>
          </w:p>
          <w:p>
            <w:pPr>
              <w:pStyle w:val="Level2Sub"/>
              <w:numPr>
                <w:ilvl w:val="0"/>
                <w:numId w:val="2"/>
              </w:numPr>
              <w:tabs>
                <w:tab w:val="clear" w:pos="432"/>
                <w:tab w:val="left" w:pos="1318" w:leader="none"/>
              </w:tabs>
              <w:rPr/>
            </w:pPr>
            <w:r>
              <w:rPr/>
              <w:t>A debit entry equal to the amount recorded for Diablo Canyon-related ICIP exclusion items listed in Findings of Fact 38, 39, and 40 of Decision 97</w:t>
              <w:noBreakHyphen/>
              <w:t>05</w:t>
              <w:noBreakHyphen/>
              <w:t>088;</w:t>
            </w:r>
          </w:p>
          <w:p>
            <w:pPr>
              <w:pStyle w:val="Level2Sub"/>
              <w:numPr>
                <w:ilvl w:val="0"/>
                <w:numId w:val="2"/>
              </w:numPr>
              <w:tabs>
                <w:tab w:val="clear" w:pos="432"/>
                <w:tab w:val="left" w:pos="1318" w:leader="none"/>
              </w:tabs>
              <w:rPr/>
            </w:pPr>
            <w:r>
              <w:rPr/>
              <w:t>A debit entry equal to the costs associated with CEP and EET funded by PG&amp;E, up to the amount authorized for PG&amp;E by the CPUC;</w:t>
            </w:r>
          </w:p>
          <w:p>
            <w:pPr>
              <w:pStyle w:val="Level2Sub"/>
              <w:numPr>
                <w:ilvl w:val="0"/>
                <w:numId w:val="2"/>
              </w:numPr>
              <w:tabs>
                <w:tab w:val="clear" w:pos="432"/>
                <w:tab w:val="left" w:pos="1318" w:leader="none"/>
              </w:tabs>
              <w:rPr/>
            </w:pPr>
            <w:r>
              <w:rPr/>
              <w:t>A debit entry equal to the recorded incentives paid to customers for avoided power purchases during the period between June 1, 2000, and December 31, 2000, as provided for under Schedule E-BID</w:t>
            </w:r>
          </w:p>
          <w:p>
            <w:pPr>
              <w:pStyle w:val="Level2Sub"/>
              <w:numPr>
                <w:ilvl w:val="0"/>
                <w:numId w:val="2"/>
              </w:numPr>
              <w:tabs>
                <w:tab w:val="clear" w:pos="432"/>
                <w:tab w:val="left" w:pos="1318" w:leader="none"/>
              </w:tabs>
              <w:rPr/>
            </w:pPr>
            <w:r>
              <w:rPr/>
              <w:t>A credit entry equal to the recorded amount of revenue cycle services credits given to customers for revenue cycle services provided by entities other than PG&amp;E;</w:t>
            </w:r>
          </w:p>
          <w:p>
            <w:pPr>
              <w:pStyle w:val="Level2Sub"/>
              <w:numPr>
                <w:ilvl w:val="0"/>
                <w:numId w:val="2"/>
              </w:numPr>
              <w:tabs>
                <w:tab w:val="clear" w:pos="432"/>
                <w:tab w:val="left" w:pos="1318" w:leader="none"/>
              </w:tabs>
              <w:rPr/>
            </w:pPr>
            <w:r>
              <w:rPr/>
              <w:t>A credit entry equal to the amount of Shareholder Participation, as defined in Section 6 below;</w:t>
            </w:r>
          </w:p>
          <w:p>
            <w:pPr>
              <w:pStyle w:val="Level2Sub"/>
              <w:numPr>
                <w:ilvl w:val="0"/>
                <w:numId w:val="2"/>
              </w:numPr>
              <w:tabs>
                <w:tab w:val="clear" w:pos="432"/>
                <w:tab w:val="left" w:pos="1318" w:leader="none"/>
              </w:tabs>
              <w:rPr/>
            </w:pPr>
            <w:r>
              <w:rPr/>
              <w:t>A debit entry equal to the undercollected balance in the EPSBA (electric Preliminary Statement Part AM);</w:t>
            </w:r>
          </w:p>
          <w:p>
            <w:pPr>
              <w:pStyle w:val="Level2Sub"/>
              <w:numPr>
                <w:ilvl w:val="0"/>
                <w:numId w:val="2"/>
              </w:numPr>
              <w:tabs>
                <w:tab w:val="clear" w:pos="432"/>
                <w:tab w:val="left" w:pos="1318" w:leader="none"/>
              </w:tabs>
              <w:rPr/>
            </w:pPr>
            <w:r>
              <w:rPr/>
              <w:t xml:space="preserve">If the sum of the beginning of the month balance and the balance after the entries above is a credit, a debit entry to transfer that sum to the TCBA (electric Preliminary Statement Part </w:t>
              <w:br/>
              <w:t>AV); and</w:t>
            </w:r>
          </w:p>
          <w:p>
            <w:pPr>
              <w:pStyle w:val="Level2Sub"/>
              <w:numPr>
                <w:ilvl w:val="0"/>
                <w:numId w:val="2"/>
              </w:numPr>
              <w:tabs>
                <w:tab w:val="clear" w:pos="432"/>
                <w:tab w:val="left" w:pos="1318" w:leader="none"/>
              </w:tabs>
              <w:spacing w:before="0" w:after="200"/>
              <w:rPr/>
            </w:pPr>
            <w:r>
              <w:rPr/>
              <w:t>If the sum of the beginning of the month balance and the balance after the entries above is a debit, a debit entry equal to the interest on the average balance of the account at the beginning of the month and the balance after the entries above, at a rate equal to one</w:t>
              <w:noBreakHyphen/>
              <w:t>twelfth the interest rate on three-month Commercial-Paper for the previous month, as reported in the Federal Reserve Statistical Release, G. 3 or its successor.</w:t>
            </w:r>
          </w:p>
        </w:tc>
        <w:tc>
          <w:tcPr>
            <w:tcW w:w="1022" w:type="dxa"/>
            <w:tcBorders/>
          </w:tcPr>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bl>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sz w:val="20"/>
          <w:lang w:val="en-CA" w:eastAsia="en-CA"/>
        </w:rPr>
      </w:pPr>
      <w:r>
        <w:rPr>
          <w:sz w:val="20"/>
          <w:lang w:val="en-CA" w:eastAsia="en-CA"/>
        </w:rPr>
        <mc:AlternateContent>
          <mc:Choice Requires="wpg">
            <w:drawing>
              <wp:anchor behindDoc="0" distT="0" distB="0" distL="114935" distR="114935" simplePos="0" locked="0" layoutInCell="0" allowOverlap="1" relativeHeight="76">
                <wp:simplePos x="0" y="0"/>
                <wp:positionH relativeFrom="page">
                  <wp:posOffset>6400800</wp:posOffset>
                </wp:positionH>
                <wp:positionV relativeFrom="page">
                  <wp:posOffset>8869680</wp:posOffset>
                </wp:positionV>
                <wp:extent cx="914400" cy="228600"/>
                <wp:effectExtent l="0" t="0" r="635" b="1270"/>
                <wp:wrapNone/>
                <wp:docPr id="2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8"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N.</w:t>
              <w:tab/>
              <w:t>TRANSITION REVENUE ACCOUNT (TRA) (Cont’d.)</w:t>
            </w:r>
          </w:p>
        </w:tc>
      </w:tr>
      <w:tr>
        <w:trPr/>
        <w:tc>
          <w:tcPr>
            <w:tcW w:w="9000" w:type="dxa"/>
            <w:tcBorders/>
          </w:tcPr>
          <w:p>
            <w:pPr>
              <w:pStyle w:val="Level1"/>
              <w:rPr/>
            </w:pPr>
            <w:r>
              <w:rPr/>
              <w:t>6.</w:t>
              <w:tab/>
              <w:t>SHAREHOLDER PARTICIPATION:  PG&amp;E's shareholders bear some responsibility for economic risks and rewards associated with, but not limited to, Commission-approved economic discounts and credits to certain PG&amp;E customers.  This section ensures that ratepayers will not assume shareholders' obligations.</w:t>
            </w:r>
          </w:p>
          <w:p>
            <w:pPr>
              <w:pStyle w:val="Level1Sub"/>
              <w:rPr/>
            </w:pPr>
            <w:r>
              <w:rPr/>
              <w:t>Shareholder Participation will be calculated monthly as the sum of the following:</w:t>
            </w:r>
          </w:p>
          <w:p>
            <w:pPr>
              <w:pStyle w:val="Level2"/>
              <w:rPr/>
            </w:pPr>
            <w:r>
              <w:rPr/>
              <w:t>a.</w:t>
              <w:tab/>
              <w:t>The actual amount of the Economic Stimulus Rate discount in accordance with Decision 94</w:t>
              <w:noBreakHyphen/>
              <w:t>12</w:t>
              <w:noBreakHyphen/>
              <w:t>047.  The actual amount of the discount is equal to the product of the number of kilowatt-hours sold to eligible customers and $0.00432.</w:t>
            </w:r>
          </w:p>
          <w:p>
            <w:pPr>
              <w:pStyle w:val="Level2"/>
              <w:rPr/>
            </w:pPr>
            <w:r>
              <w:rPr/>
              <w:t>b.</w:t>
              <w:tab/>
              <w:t>The amount of the Shareholder Participation Mechanism for the USS-POSCO Inc. contract approved by the Commission in Decision 94</w:t>
              <w:noBreakHyphen/>
              <w:t>11</w:t>
              <w:noBreakHyphen/>
              <w:t>023.</w:t>
            </w:r>
          </w:p>
          <w:p>
            <w:pPr>
              <w:pStyle w:val="Level2"/>
              <w:rPr/>
            </w:pPr>
            <w:r>
              <w:rPr/>
              <w:t>c.</w:t>
              <w:tab/>
              <w:t>The amount of the Shareholder Participation Mechanism for the Business Attraction Agreements, Business Expansion and Retention Agreements, and Cogeneration Deferral Agreements approved by the Commission in Decision 95</w:t>
              <w:noBreakHyphen/>
              <w:t>10</w:t>
              <w:noBreakHyphen/>
              <w:t>033.</w:t>
            </w:r>
          </w:p>
          <w:p>
            <w:pPr>
              <w:pStyle w:val="Level2"/>
              <w:rPr/>
            </w:pPr>
            <w:r>
              <w:rPr/>
              <w:t>d.</w:t>
              <w:tab/>
              <w:t>The amount of the Shareholder Participation Mechanism for Schedules E</w:t>
              <w:noBreakHyphen/>
              <w:t>TD, E</w:t>
              <w:noBreakHyphen/>
              <w:t>TDI, and AG</w:t>
              <w:noBreakHyphen/>
              <w:t>8 approved by the Commission in Decision 97</w:t>
              <w:noBreakHyphen/>
              <w:t>09</w:t>
              <w:noBreakHyphen/>
              <w:t>047.  This amount is subject to future recovery in rates upon the Commission’s final resolution of the issue of discounting policies.</w:t>
            </w:r>
          </w:p>
          <w:p>
            <w:pPr>
              <w:pStyle w:val="Level2"/>
              <w:spacing w:before="0" w:after="200"/>
              <w:ind w:hanging="432" w:start="1296" w:end="0"/>
              <w:rPr/>
            </w:pPr>
            <w:r>
              <w:rPr/>
              <w:t>e.</w:t>
              <w:tab/>
              <w:t>The amount of the Shareholder Participation Mechanism for Schedule ED, in accordance with Resolution E-3654.</w:t>
            </w:r>
          </w:p>
        </w:tc>
        <w:tc>
          <w:tcPr>
            <w:tcW w:w="1008" w:type="dxa"/>
            <w:tcBorders/>
          </w:tcPr>
          <w:p>
            <w:pPr>
              <w:pStyle w:val="EditNotation"/>
              <w:snapToGrid w:val="false"/>
              <w:rPr/>
            </w:pPr>
            <w:r>
              <w:rPr/>
            </w:r>
          </w:p>
        </w:tc>
      </w:tr>
    </w:tbl>
    <w:p>
      <w:pPr>
        <w:pStyle w:val="Normal"/>
        <w:rPr/>
      </w:pPr>
      <w:r>
        <w:rPr/>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20"/>
          <w:headerReference w:type="first" r:id="rId21"/>
          <w:footerReference w:type="default" r:id="rId22"/>
          <w:footerReference w:type="first" r:id="rId2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S.</w:t>
              <w:tab/>
              <w:t>HAZARDOUS SUBSTANCE MECHANISM (HSM)</w:t>
            </w:r>
          </w:p>
        </w:tc>
      </w:tr>
      <w:tr>
        <w:trPr/>
        <w:tc>
          <w:tcPr>
            <w:tcW w:w="9000" w:type="dxa"/>
            <w:tcBorders/>
          </w:tcPr>
          <w:p>
            <w:pPr>
              <w:pStyle w:val="Level1"/>
              <w:rPr/>
            </w:pPr>
            <w:r>
              <w:rPr/>
              <w:t>1.</w:t>
              <w:tab/>
              <w:t>PURPOSE:  The Hazardous Substance Mechanism (HSM) provides a uniform methodology for allocating costs and related recoveries associated with covered hazardous substance-related activities, including hazardous substance clean-up and litigation, and related insurance recoveries, as set forth in Decision 94</w:t>
              <w:noBreakHyphen/>
              <w:t>05</w:t>
              <w:noBreakHyphen/>
              <w:t>020.  The HSM includes a balancing account, the Hazardous Substance Cost Recovery Account (HSCRA), and an interest-bearing tracking account, the Other Hazardous Substance Tracking Account (OHSTA).  In compliance with Decision 97-08-056, as modified by Decision 97-11-073, Resolution E-3510 and Decision 97-12-131, the HSM shall exclude any generation-related hazardous substance clean-up and litigation costs incurred after the date the Commission or its delegate declares to be the start date for direct access, except generation-related costs which are incurred after the direct access start date and are caused by events occurring prior to the direct access start date may be entered into HSM accounts.</w:t>
            </w:r>
          </w:p>
          <w:p>
            <w:pPr>
              <w:pStyle w:val="Level1Sub"/>
              <w:rPr/>
            </w:pPr>
            <w:r>
              <w:rPr/>
              <w:t>Terms and definitions relating to hazardous substance-related activities are found in Decision 94</w:t>
              <w:noBreakHyphen/>
              <w:t>05</w:t>
              <w:noBreakHyphen/>
              <w:t>020, Appendix A.</w:t>
            </w:r>
          </w:p>
          <w:p>
            <w:pPr>
              <w:pStyle w:val="Level1"/>
              <w:rPr/>
            </w:pPr>
            <w:r>
              <w:rPr/>
              <w:t>2.</w:t>
              <w:tab/>
              <w:t>APPLICABILITY:  The HSCRA applies to all covered costs and recoveries associated with manufactured gas plant sites, presently-identified federal superfund sites, and other identified sites included in Decision 94</w:t>
              <w:noBreakHyphen/>
              <w:t>05</w:t>
              <w:noBreakHyphen/>
              <w:t>020, Appendix A.  The OHSTA is an interest-bearing tracking account for costs and recoveries for sites not included within one of the three defined categories set forth in Decision 94</w:t>
              <w:noBreakHyphen/>
              <w:t>05</w:t>
              <w:noBreakHyphen/>
              <w:t>020, Appendix A.</w:t>
            </w:r>
          </w:p>
          <w:p>
            <w:pPr>
              <w:pStyle w:val="Level1"/>
              <w:rPr/>
            </w:pPr>
            <w:r>
              <w:rPr/>
              <w:t>3.</w:t>
              <w:tab/>
              <w:t>REVISION DATE:  PG&amp;E shall determine when to seek rate recovery for any balance under the HSM and is authorized to include balances under the HSM as part of any application which PG&amp;E deems appropriate.</w:t>
            </w:r>
          </w:p>
          <w:p>
            <w:pPr>
              <w:pStyle w:val="Level1Sub"/>
              <w:rPr/>
            </w:pPr>
            <w:r>
              <w:rPr/>
              <w:t>The California Public Utilities Commission (CPUC) will not conduct a reasonableness review of costs under the HSM except, at its discretion, of costs recorded in the OHSTA.</w:t>
            </w:r>
          </w:p>
          <w:p>
            <w:pPr>
              <w:pStyle w:val="Level1"/>
              <w:rPr/>
            </w:pPr>
            <w:r>
              <w:rPr/>
              <w:t>4.</w:t>
              <w:tab/>
              <w:t>HSM RATES:  The HSM rates are set forth in electric Preliminary Statement Part I and consist of a Hazardous Substance Clean-up Cost Account (HSCCA) rate and the Hazardous Substance Clean-up Cost Insurance Account (HSCCIA) rate.  The HSM rates become effective on the date the Commission approves the interim California Procurement Adjustment Balancing Account (CPABA) (electric Preliminary Statement Part XX).</w:t>
            </w:r>
          </w:p>
          <w:p>
            <w:pPr>
              <w:pStyle w:val="Level1"/>
              <w:rPr/>
            </w:pPr>
            <w:r>
              <w:rPr/>
              <w:t>5.</w:t>
              <w:tab/>
              <w:t>REPORTING REQUIREMENTS:  On or before August 2, 1994, PG&amp;E will file an initial report with the Commission Advisory and Compliance Division (CACD), describing previously recorded hazardous substance costs transferred to the HSCRA.  (Requirements for this initial report are found in Decision 94</w:t>
              <w:noBreakHyphen/>
              <w:t>05</w:t>
              <w:noBreakHyphen/>
              <w:t>020, Appendix A, p. 14.)</w:t>
            </w:r>
          </w:p>
          <w:p>
            <w:pPr>
              <w:pStyle w:val="Level1Sub"/>
              <w:spacing w:before="0" w:after="200"/>
              <w:ind w:hanging="0" w:start="864" w:end="0"/>
              <w:rPr/>
            </w:pPr>
            <w:r>
              <w:rPr/>
              <w:t>Commencing March 1, 1995, PG&amp;E will file an annual report with the CACD to reflect the costs and recoveries recorded by PG&amp;E in the HSM for the 12-month period ending December 31 of the previous year, except for the first year report, which will cover the period from June 3, 1994, through December 31, 1994.  The Annual Report will be served on all parties to Application No. (A.) 91</w:t>
              <w:noBreakHyphen/>
              <w:t>04</w:t>
              <w:noBreakHyphen/>
              <w:t>044.</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w:t>
            </w:r>
          </w:p>
          <w:p>
            <w:pPr>
              <w:pStyle w:val="EditNotation"/>
              <w:rPr/>
            </w:pPr>
            <w:r>
              <w:rPr/>
              <w:t>|</w:t>
            </w:r>
          </w:p>
          <w:p>
            <w:pPr>
              <w:pStyle w:val="EditNotation"/>
              <w:rPr/>
            </w:pPr>
            <w:r>
              <w:rPr/>
              <w: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77">
                <wp:simplePos x="0" y="0"/>
                <wp:positionH relativeFrom="page">
                  <wp:posOffset>6400800</wp:posOffset>
                </wp:positionH>
                <wp:positionV relativeFrom="page">
                  <wp:posOffset>8869680</wp:posOffset>
                </wp:positionV>
                <wp:extent cx="914400" cy="228600"/>
                <wp:effectExtent l="0" t="0" r="0" b="0"/>
                <wp:wrapNone/>
                <wp:docPr id="35"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PrelimTitle"/>
              <w:pageBreakBefore/>
              <w:spacing w:lineRule="exact" w:line="200" w:before="0" w:after="200"/>
              <w:ind w:hanging="432" w:start="432" w:end="0"/>
              <w:rPr/>
            </w:pPr>
            <w:r>
              <w:rPr/>
              <w:t>S.</w:t>
              <w:tab/>
              <w:t>HAZARDOUS SUBSTANCE MECHANISM (HSM) (Cont’d.)</w:t>
            </w:r>
          </w:p>
        </w:tc>
      </w:tr>
      <w:tr>
        <w:trPr/>
        <w:tc>
          <w:tcPr>
            <w:tcW w:w="9000" w:type="dxa"/>
            <w:tcBorders/>
          </w:tcPr>
          <w:p>
            <w:pPr>
              <w:pStyle w:val="Level1"/>
              <w:rPr/>
            </w:pPr>
            <w:r>
              <w:rPr/>
              <w:t>5.</w:t>
              <w:tab/>
              <w:t>REPORTING REQUIREMENTS:  (Cont’d.)</w:t>
            </w:r>
          </w:p>
          <w:p>
            <w:pPr>
              <w:pStyle w:val="Level1Sub"/>
              <w:rPr/>
            </w:pPr>
            <w:r>
              <w:rPr/>
              <w:t>The Annual Report shall include the following:</w:t>
            </w:r>
          </w:p>
          <w:p>
            <w:pPr>
              <w:pStyle w:val="Level2"/>
              <w:rPr/>
            </w:pPr>
            <w:r>
              <w:rPr/>
              <w:t>a.</w:t>
              <w:tab/>
              <w:t>The name and location of each site for which costs were incurred or a recovery obtained.</w:t>
            </w:r>
          </w:p>
          <w:p>
            <w:pPr>
              <w:pStyle w:val="Level2"/>
              <w:rPr/>
            </w:pPr>
            <w:r>
              <w:rPr/>
              <w:t>b.</w:t>
              <w:tab/>
              <w:t>The amount of covered hazardous substance clean-up costs incurred for each site.</w:t>
            </w:r>
          </w:p>
          <w:p>
            <w:pPr>
              <w:pStyle w:val="Level2"/>
              <w:rPr/>
            </w:pPr>
            <w:r>
              <w:rPr/>
              <w:t>c.</w:t>
              <w:tab/>
              <w:t>The amount of internal PG&amp;E costs included with the hazardous substance clean-up costs.</w:t>
            </w:r>
          </w:p>
          <w:p>
            <w:pPr>
              <w:pStyle w:val="Level2"/>
              <w:rPr/>
            </w:pPr>
            <w:r>
              <w:rPr/>
              <w:t>d.</w:t>
              <w:tab/>
              <w:t>The total third-party and insurance litigation costs incurred for all sites.</w:t>
            </w:r>
          </w:p>
          <w:p>
            <w:pPr>
              <w:pStyle w:val="Level2"/>
              <w:rPr/>
            </w:pPr>
            <w:r>
              <w:rPr/>
              <w:t>e.</w:t>
              <w:tab/>
              <w:t>The amount of covered third-party and insurance recoveries obtained for all sites.</w:t>
            </w:r>
          </w:p>
          <w:p>
            <w:pPr>
              <w:pStyle w:val="Level2"/>
              <w:rPr/>
            </w:pPr>
            <w:r>
              <w:rPr/>
              <w:t>f.</w:t>
              <w:tab/>
              <w:t>A description of the costs in sufficient detail to allow a determination of whether costs have been properly accounted for by PG&amp;E, and whether reported internal PG&amp;E costs are already being recovered through rates.</w:t>
            </w:r>
          </w:p>
          <w:p>
            <w:pPr>
              <w:pStyle w:val="Level1"/>
              <w:rPr/>
            </w:pPr>
            <w:r>
              <w:rPr/>
              <w:t>6.</w:t>
              <w:tab/>
              <w:t>COST ALLOCATION:  PG&amp;E shall allocate all costs and related recoveries 70 percent to the Gas Department and 30 percent to the Electric Department, with the exception of hazardous substance insurance litigation costs recovered through PG&amp;E’s 1993 General Rate Case base revenues.</w:t>
            </w:r>
          </w:p>
          <w:p>
            <w:pPr>
              <w:pStyle w:val="Level1"/>
              <w:rPr/>
            </w:pPr>
            <w:r>
              <w:rPr/>
              <w:t>7.</w:t>
              <w:tab/>
              <w:t xml:space="preserve">ACCOUNTING PROCEDURE:  The Hazardous Substance Cost Recovery Account (HSCRA) records expenditures and recoveries associated with the HSM in accordance with D.94-05-020.  </w:t>
            </w:r>
          </w:p>
          <w:p>
            <w:pPr>
              <w:pStyle w:val="Level1Sub"/>
              <w:rPr/>
            </w:pPr>
            <w:r>
              <w:rPr/>
              <w:t>The HSCRA consists of five subaccounts:</w:t>
            </w:r>
          </w:p>
          <w:p>
            <w:pPr>
              <w:pStyle w:val="Level2"/>
              <w:rPr/>
            </w:pPr>
            <w:r>
              <w:rPr/>
              <w:t>a.</w:t>
              <w:tab/>
            </w:r>
            <w:r>
              <w:rPr>
                <w:u w:val="single"/>
              </w:rPr>
              <w:t>Hazardous Substance Clean-up Cost Account (HSCCA)</w:t>
            </w:r>
          </w:p>
          <w:p>
            <w:pPr>
              <w:pStyle w:val="Level2Sub"/>
              <w:rPr/>
            </w:pPr>
            <w:r>
              <w:rPr/>
              <w:t>This account records the ratepayers' share of covered hazardous substance costs.  Entries shall be made into the HSCCA at the end of each month as follows:</w:t>
            </w:r>
          </w:p>
          <w:p>
            <w:pPr>
              <w:pStyle w:val="Level3"/>
              <w:rPr/>
            </w:pPr>
            <w:r>
              <w:rPr/>
              <w:t>1)</w:t>
              <w:tab/>
              <w:t>A debit entry equal to 90 percent of covered hazardous substance costs.</w:t>
            </w:r>
          </w:p>
          <w:p>
            <w:pPr>
              <w:pStyle w:val="Level3"/>
              <w:rPr/>
            </w:pPr>
            <w:r>
              <w:rPr/>
              <w:t>2)</w:t>
              <w:tab/>
              <w:t>A credit entry equal to 90 percent of hazardous substance costs recovered from third parties.</w:t>
            </w:r>
          </w:p>
          <w:p>
            <w:pPr>
              <w:pStyle w:val="Level3"/>
              <w:rPr/>
            </w:pPr>
            <w:r>
              <w:rPr/>
              <w:t>3)</w:t>
              <w:tab/>
              <w:t>A credit entry equal to 100 percent of hazardous substance insurance litigation costs recovered through PG&amp;E's 1993 General Rate Case base revenues, excluding the allowance for franchise fees and uncollectible accounts (FF&amp;U) expense, for the period from June 3, 1994, through December 31, 1995.</w:t>
            </w:r>
          </w:p>
          <w:p>
            <w:pPr>
              <w:pStyle w:val="Level3"/>
              <w:rPr/>
            </w:pPr>
            <w:r>
              <w:rPr/>
              <w:t>4)</w:t>
              <w:tab/>
              <w:t>A credit entry equal to the lesser of 10 percent of the remaining insurance recoveries, net of contingency fees paid to outside attorneys to obtain recoveries, if any, not applied to entries 7.c.2 and 7.d.2 below, or 11.111 percent of the entry in 7.b.3 below.</w:t>
            </w:r>
          </w:p>
          <w:p>
            <w:pPr>
              <w:pStyle w:val="Level3"/>
              <w:rPr/>
            </w:pPr>
            <w:r>
              <w:rPr/>
              <w:t>5)</w:t>
              <w:tab/>
              <w:t>A credit entry for 60 percent of each debit entry under HSIRA Sections 7.e.3 through 7.e.7 for the ratepayers' portion of insurance recoveries under the HSIRA.</w:t>
            </w:r>
          </w:p>
          <w:p>
            <w:pPr>
              <w:pStyle w:val="Level3"/>
              <w:spacing w:before="0" w:after="200"/>
              <w:ind w:hanging="432" w:start="1728" w:end="0"/>
              <w:rPr/>
            </w:pPr>
            <w:r>
              <w:rPr/>
              <w:t>6)</w:t>
              <w:tab/>
              <w:t xml:space="preserve">A credit entry equal to the total recorded HSCCA revenue, excluding an allowance for FF&amp;U accounts expenses at the rates authorized in PG&amp;E’s most recent General Rate Case (GRC). </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(N)</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tc>
      </w:tr>
    </w:tbl>
    <w:p>
      <w:pPr>
        <w:pStyle w:val="Normal"/>
        <w:rPr/>
      </w:pPr>
      <w:r>
        <w:rPr/>
      </w:r>
      <w:r>
        <mc:AlternateContent>
          <mc:Choice Requires="wps">
            <w:drawing>
              <wp:anchor behindDoc="0" distT="0" distB="0" distL="114935" distR="114935" simplePos="0" locked="0" layoutInCell="0" allowOverlap="1" relativeHeight="78">
                <wp:simplePos x="0" y="0"/>
                <wp:positionH relativeFrom="page">
                  <wp:posOffset>6400800</wp:posOffset>
                </wp:positionH>
                <wp:positionV relativeFrom="page">
                  <wp:posOffset>8869680</wp:posOffset>
                </wp:positionV>
                <wp:extent cx="914400" cy="228600"/>
                <wp:effectExtent l="0" t="0" r="0" b="0"/>
                <wp:wrapNone/>
                <wp:docPr id="38"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S.</w:t>
              <w:tab/>
              <w:t>HAZARDOUS SUBSTANCE MECHANISM (HSM) (Cont'd.)</w:t>
            </w:r>
          </w:p>
        </w:tc>
      </w:tr>
      <w:tr>
        <w:trPr/>
        <w:tc>
          <w:tcPr>
            <w:tcW w:w="9000" w:type="dxa"/>
            <w:tcBorders/>
          </w:tcPr>
          <w:p>
            <w:pPr>
              <w:pStyle w:val="Level1"/>
              <w:rPr/>
            </w:pPr>
            <w:r>
              <w:rPr/>
              <w:t>7.</w:t>
              <w:tab/>
              <w:t>ACCOUNTING PROCEDURE:  (Cont’d.)</w:t>
            </w:r>
          </w:p>
          <w:p>
            <w:pPr>
              <w:pStyle w:val="Level2"/>
              <w:rPr/>
            </w:pPr>
            <w:r>
              <w:rPr/>
              <w:t>a.</w:t>
              <w:tab/>
            </w:r>
            <w:r>
              <w:rPr>
                <w:u w:val="single"/>
              </w:rPr>
              <w:t>Hazardous Substance Clean-up Cost Account (HSCCA)</w:t>
            </w:r>
            <w:r>
              <w:rPr/>
              <w:t xml:space="preserve"> (Cont’d.)</w:t>
            </w:r>
          </w:p>
          <w:p>
            <w:pPr>
              <w:pStyle w:val="Level3"/>
              <w:rPr/>
            </w:pPr>
            <w:r>
              <w:rPr/>
              <w:t>7)</w:t>
              <w:tab/>
              <w:t>A debit or credit entry, as appropriate, equal to interest on the average balance in the account at the beginning of the month and the balance after the monthly entries, at a rate equal to one-twelfth the interest rate on three-month Commercial Paper for the previous month, as reported in the Federal Reserve Statistical Release, G.13, or its successor.</w:t>
            </w:r>
          </w:p>
          <w:p>
            <w:pPr>
              <w:pStyle w:val="Level2"/>
              <w:rPr/>
            </w:pPr>
            <w:r>
              <w:rPr/>
              <w:t>b.</w:t>
              <w:tab/>
            </w:r>
            <w:r>
              <w:rPr>
                <w:u w:val="single"/>
              </w:rPr>
              <w:t>Hazardous Substance Clean-up Cost Shareholder Account (HSCCSA)</w:t>
            </w:r>
          </w:p>
          <w:p>
            <w:pPr>
              <w:pStyle w:val="Level2Sub"/>
              <w:rPr/>
            </w:pPr>
            <w:r>
              <w:rPr/>
              <w:t>This account records the shareholders' share of covered hazardous substance costs.  Entries shall be made into the HSCCSA at the end of each month as follows:</w:t>
            </w:r>
          </w:p>
          <w:p>
            <w:pPr>
              <w:pStyle w:val="Level3"/>
              <w:rPr/>
            </w:pPr>
            <w:r>
              <w:rPr/>
              <w:t>1)</w:t>
              <w:tab/>
              <w:t>A debit entry equal to 10 percent of covered hazardous substance costs.</w:t>
            </w:r>
          </w:p>
          <w:p>
            <w:pPr>
              <w:pStyle w:val="Level3"/>
              <w:rPr/>
            </w:pPr>
            <w:r>
              <w:rPr/>
              <w:t>2)</w:t>
              <w:tab/>
              <w:t>A credit entry equal to 10 percent of hazardous substance costs recovered from third parties.</w:t>
            </w:r>
          </w:p>
          <w:p>
            <w:pPr>
              <w:pStyle w:val="Level3"/>
              <w:rPr/>
            </w:pPr>
            <w:r>
              <w:rPr/>
              <w:t>3)</w:t>
              <w:tab/>
              <w:t>A credit entry equal to the lesser of 90 percent of the remaining insurance recoveries, net of contingency fees paid to outside attorneys to obtain recoveries, if any, not applied to entries 7.c.2 and 7.d.2 below, or the balance in this account.</w:t>
            </w:r>
          </w:p>
          <w:p>
            <w:pPr>
              <w:pStyle w:val="Level3"/>
              <w:rPr/>
            </w:pPr>
            <w:r>
              <w:rPr/>
              <w:t>4)</w:t>
              <w:tab/>
              <w:t>A credit entry for 40 percent of each debit entry under HSIRA Sections 7.e.3 through 7.e.7 for the shareholders' portion of insurance recoveries under the HSIRA.</w:t>
            </w:r>
          </w:p>
          <w:p>
            <w:pPr>
              <w:pStyle w:val="Level3"/>
              <w:rPr/>
            </w:pPr>
            <w:r>
              <w:rPr/>
              <w:t>5)</w:t>
              <w:tab/>
              <w:t>A debit or credit entry, as appropriate, equal to interest on the average balance in this account at the beginning of the month and the balance after the monthly entries, at a rate equal to one-twelfth the interest rate on three</w:t>
              <w:noBreakHyphen/>
              <w:t>month Commercial Paper for the previous month, as reported in the Federal Reserve Statistical Release, G.13, or its successor.</w:t>
            </w:r>
          </w:p>
          <w:p>
            <w:pPr>
              <w:pStyle w:val="Level2Sub"/>
              <w:rPr/>
            </w:pPr>
            <w:r>
              <w:rPr/>
              <w:t>Shareholders are at risk for any balance remaining in this account following final disposition of all covered hazardous substance and insurance litigation costs and related recoveries.</w:t>
            </w:r>
          </w:p>
          <w:p>
            <w:pPr>
              <w:pStyle w:val="Level2"/>
              <w:rPr/>
            </w:pPr>
            <w:r>
              <w:rPr/>
              <w:t>c.</w:t>
              <w:tab/>
            </w:r>
            <w:r>
              <w:rPr>
                <w:u w:val="single"/>
              </w:rPr>
              <w:t>Hazardous Substance Clean-up Cost Insurance Account (HSCCIA)</w:t>
            </w:r>
          </w:p>
          <w:p>
            <w:pPr>
              <w:pStyle w:val="Level2Sub"/>
              <w:rPr/>
            </w:pPr>
            <w:r>
              <w:rPr/>
              <w:t>This account records the ratepayers' share of covered insurance litigation costs.  Entries shall be made into the HSCCIA at the end of each month as follows:</w:t>
            </w:r>
          </w:p>
          <w:p>
            <w:pPr>
              <w:pStyle w:val="Level3"/>
              <w:rPr/>
            </w:pPr>
            <w:r>
              <w:rPr/>
              <w:t>1)</w:t>
              <w:tab/>
              <w:t>A debit entry equal to 70 percent of covered insurance litigation costs.</w:t>
            </w:r>
          </w:p>
          <w:p>
            <w:pPr>
              <w:pStyle w:val="Level3"/>
              <w:rPr/>
            </w:pPr>
            <w:r>
              <w:rPr/>
              <w:t>2)</w:t>
              <w:tab/>
              <w:t>A credit entry equal to the lesser of 70 percent of insurance recoveries net of contingency fees paid to outside attorneys to obtain recoveries, if any, or the balance in this account.  This account cannot have a credit balance.</w:t>
            </w:r>
          </w:p>
          <w:p>
            <w:pPr>
              <w:pStyle w:val="Level3"/>
              <w:spacing w:before="0" w:after="200"/>
              <w:ind w:hanging="432" w:start="1728" w:end="0"/>
              <w:rPr/>
            </w:pPr>
            <w:r>
              <w:rPr/>
              <w:t>3)</w:t>
              <w:tab/>
              <w:t>A credit entry equal to the total recorded HSCCIA revenue, excluding an allowance for FF&amp;U accounts expenses at the rates authorized in PG&amp;E’s most recent GRC.</w:t>
            </w:r>
          </w:p>
        </w:tc>
        <w:tc>
          <w:tcPr>
            <w:tcW w:w="1008" w:type="dxa"/>
            <w:tcBorders/>
          </w:tcPr>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p>
            <w:pPr>
              <w:pStyle w:val="EditNotation"/>
              <w:rPr/>
            </w:pPr>
            <w:r>
              <w:rPr/>
              <w:t>(N)</w:t>
            </w:r>
          </w:p>
          <w:p>
            <w:pPr>
              <w:pStyle w:val="EditNotation"/>
              <w:rPr/>
            </w:pPr>
            <w:r>
              <w:rP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9">
                <wp:simplePos x="0" y="0"/>
                <wp:positionH relativeFrom="page">
                  <wp:posOffset>6400800</wp:posOffset>
                </wp:positionH>
                <wp:positionV relativeFrom="page">
                  <wp:posOffset>8869680</wp:posOffset>
                </wp:positionV>
                <wp:extent cx="914400" cy="228600"/>
                <wp:effectExtent l="0" t="0" r="0" b="0"/>
                <wp:wrapNone/>
                <wp:docPr id="41"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8"/>
          <w:footerReference w:type="default" r:id="rId2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PrelimTitle"/>
              <w:pageBreakBefore/>
              <w:spacing w:lineRule="exact" w:line="200" w:before="0" w:after="200"/>
              <w:ind w:hanging="432" w:start="432" w:end="0"/>
              <w:rPr/>
            </w:pPr>
            <w:r>
              <w:rPr/>
              <w:t>S.</w:t>
              <w:tab/>
              <w:t>HAZARDOUS SUBSTANCE MECHANISM (HSM) (Cont'd.)</w:t>
            </w:r>
          </w:p>
        </w:tc>
        <w:tc>
          <w:tcPr>
            <w:tcW w:w="1022" w:type="dxa"/>
            <w:gridSpan w:val="2"/>
            <w:tcBorders/>
          </w:tcPr>
          <w:p>
            <w:pPr>
              <w:pStyle w:val="Continued"/>
              <w:suppressAutoHyphens w:val="false"/>
              <w:snapToGrid w:val="false"/>
              <w:spacing w:lineRule="exact" w:line="160"/>
              <w:rPr>
                <w:sz w:val="16"/>
              </w:rPr>
            </w:pPr>
            <w:r>
              <w:rPr>
                <w:sz w:val="16"/>
              </w:rPr>
            </w:r>
          </w:p>
        </w:tc>
      </w:tr>
      <w:tr>
        <w:trPr/>
        <w:tc>
          <w:tcPr>
            <w:tcW w:w="9000" w:type="dxa"/>
            <w:gridSpan w:val="2"/>
            <w:tcBorders/>
          </w:tcPr>
          <w:p>
            <w:pPr>
              <w:pStyle w:val="Level1"/>
              <w:rPr/>
            </w:pPr>
            <w:r>
              <w:rPr/>
              <w:t>7.</w:t>
              <w:tab/>
              <w:t>ACCOUNTING PROCEDURE:  (Cont'd.)</w:t>
            </w:r>
          </w:p>
          <w:p>
            <w:pPr>
              <w:pStyle w:val="Level2"/>
              <w:rPr/>
            </w:pPr>
            <w:r>
              <w:rPr/>
              <w:t>c.</w:t>
              <w:tab/>
            </w:r>
            <w:r>
              <w:rPr>
                <w:u w:val="single"/>
              </w:rPr>
              <w:t>Hazardous Substance Clean-up Cost Insurance Account (HSCCIA)</w:t>
            </w:r>
            <w:r>
              <w:rPr/>
              <w:t xml:space="preserve"> (Cont’d.)</w:t>
            </w:r>
          </w:p>
          <w:p>
            <w:pPr>
              <w:pStyle w:val="Level3"/>
              <w:rPr/>
            </w:pPr>
            <w:r>
              <w:rPr/>
              <w:t>4)</w:t>
              <w:tab/>
              <w:t>A debit or credit entry, as appropriate, equal to interest on the average balance in this account at the beginning of the month and the balance after the monthly entries, at a rate equal to one-twelfth the interest rate on three-month Commercial Paper for the previous month, as reported in the Federal Reserve Statistical Release, G.13, or its successor.</w:t>
            </w:r>
          </w:p>
          <w:p>
            <w:pPr>
              <w:pStyle w:val="Level2"/>
              <w:rPr/>
            </w:pPr>
            <w:r>
              <w:rPr/>
              <w:t>d.</w:t>
              <w:tab/>
            </w:r>
            <w:r>
              <w:rPr>
                <w:u w:val="single"/>
              </w:rPr>
              <w:t xml:space="preserve">Hazardous </w:t>
            </w:r>
            <w:r>
              <w:rPr>
                <w:sz w:val="20"/>
                <w:u w:val="single"/>
              </w:rPr>
              <w:t>Substance</w:t>
            </w:r>
            <w:r>
              <w:rPr>
                <w:u w:val="single"/>
              </w:rPr>
              <w:t xml:space="preserve"> Clean-up Cost Shareholder Insurance Account (HSCCSIA)</w:t>
            </w:r>
          </w:p>
          <w:p>
            <w:pPr>
              <w:pStyle w:val="Level2Sub"/>
              <w:rPr/>
            </w:pPr>
            <w:r>
              <w:rPr/>
              <w:t>This account records the shareholders' share of covered insurance litigation costs.  Entries shall be made into the HSCCSIA at the end of each month as follows:</w:t>
            </w:r>
          </w:p>
          <w:p>
            <w:pPr>
              <w:pStyle w:val="Level3"/>
              <w:rPr/>
            </w:pPr>
            <w:r>
              <w:rPr/>
              <w:t>1)</w:t>
              <w:tab/>
              <w:t>A debit entry equal to 30 percent of covered insurance litigation costs.</w:t>
            </w:r>
          </w:p>
          <w:p>
            <w:pPr>
              <w:pStyle w:val="Level3"/>
              <w:rPr/>
            </w:pPr>
            <w:r>
              <w:rPr/>
              <w:t>2)</w:t>
              <w:tab/>
              <w:t>A credit entry equal to the lesser of 30 percent of insurance recoveries net of contingency fees paid to outside attorneys to obtain recoveries, if any, or the balance in this account.  This account cannot have a credit balance.</w:t>
            </w:r>
          </w:p>
          <w:p>
            <w:pPr>
              <w:pStyle w:val="Level3"/>
              <w:rPr/>
            </w:pPr>
            <w:r>
              <w:rPr/>
              <w:t>3)</w:t>
              <w:tab/>
              <w:t>A debit or credit entry, as appropriate, equal to interest on the average balance in this account at the beginning of the month and the balance after the monthly entries, at a rate equal to one-twelfth the interest rate on three-month Commercial Paper for the previous month, as reported in the Federal Reserve Statistical Release, G.13, or its successor.</w:t>
            </w:r>
          </w:p>
          <w:p>
            <w:pPr>
              <w:pStyle w:val="Level2Sub"/>
              <w:rPr/>
            </w:pPr>
            <w:r>
              <w:rPr/>
              <w:t>Shareholders are at risk for any balance remaining in this account upon final disposition of all insurance litigation costs and related recoveries.</w:t>
            </w:r>
          </w:p>
          <w:p>
            <w:pPr>
              <w:pStyle w:val="Level2"/>
              <w:rPr/>
            </w:pPr>
            <w:r>
              <w:rPr/>
              <w:t>e.</w:t>
              <w:tab/>
            </w:r>
            <w:r>
              <w:rPr>
                <w:u w:val="single"/>
              </w:rPr>
              <w:t>Hazardous Substance Insurance Recovery Account (HSIRA)</w:t>
            </w:r>
          </w:p>
          <w:p>
            <w:pPr>
              <w:pStyle w:val="Level2Sub"/>
              <w:rPr/>
            </w:pPr>
            <w:r>
              <w:rPr/>
              <w:t>Covered insurance recoveries will be tracked by the year received.  Any insurance recovery amounts remaining after allocation to subaccounts a through d, above, will be held in this interest-bearing account for 60 months from the end of the year in which the recovery was received.  Entries to the HSIRA are as follows:</w:t>
            </w:r>
          </w:p>
          <w:p>
            <w:pPr>
              <w:pStyle w:val="Level3"/>
              <w:rPr/>
            </w:pPr>
            <w:r>
              <w:rPr/>
              <w:t>1)</w:t>
              <w:tab/>
              <w:t>A credit entry equal to insurance recoveries net of contingency fees, if any.  Each insurance recovery will be recorded separately and distributed against covered hazardous substance and insurance litigation costs on a first-in, first-out basis.</w:t>
            </w:r>
          </w:p>
          <w:p>
            <w:pPr>
              <w:pStyle w:val="Level3"/>
              <w:rPr/>
            </w:pPr>
            <w:r>
              <w:rPr/>
              <w:t>2)</w:t>
              <w:tab/>
              <w:t>A debit entry equal to the sum of insurance recoveries allocated to entries 7.a.4, 7.b.3, 7.c.2, and 7.d.2.</w:t>
            </w:r>
          </w:p>
          <w:p>
            <w:pPr>
              <w:pStyle w:val="Level2Sub"/>
              <w:spacing w:before="0" w:after="200"/>
              <w:ind w:hanging="0" w:start="1296" w:end="0"/>
              <w:rPr/>
            </w:pPr>
            <w:r>
              <w:rPr/>
            </w:r>
          </w:p>
        </w:tc>
        <w:tc>
          <w:tcPr>
            <w:tcW w:w="1008" w:type="dxa"/>
            <w:tcBorders/>
          </w:tcPr>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p>
            <w:pPr>
              <w:pStyle w:val="EditNotation"/>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80">
                <wp:simplePos x="0" y="0"/>
                <wp:positionH relativeFrom="page">
                  <wp:posOffset>6400800</wp:posOffset>
                </wp:positionH>
                <wp:positionV relativeFrom="page">
                  <wp:posOffset>8869680</wp:posOffset>
                </wp:positionV>
                <wp:extent cx="914400" cy="228600"/>
                <wp:effectExtent l="0" t="0" r="0" b="0"/>
                <wp:wrapNone/>
                <wp:docPr id="44"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0"/>
          <w:footerReference w:type="default" r:id="rId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504"/>
        <w:gridCol w:w="504"/>
      </w:tblGrid>
      <w:tr>
        <w:trPr/>
        <w:tc>
          <w:tcPr>
            <w:tcW w:w="8986" w:type="dxa"/>
            <w:tcBorders/>
          </w:tcPr>
          <w:p>
            <w:pPr>
              <w:pStyle w:val="PrelimTitle"/>
              <w:pageBreakBefore/>
              <w:spacing w:lineRule="exact" w:line="200" w:before="0" w:after="200"/>
              <w:ind w:hanging="432" w:start="432" w:end="0"/>
              <w:rPr/>
            </w:pPr>
            <w:r>
              <w:rPr/>
              <w:t>S.</w:t>
              <w:tab/>
              <w:t>HAZARDOUS SUBSTANCE MECHANISM (HSM) (Cont'd.)</w:t>
            </w:r>
          </w:p>
        </w:tc>
        <w:tc>
          <w:tcPr>
            <w:tcW w:w="1022" w:type="dxa"/>
            <w:gridSpan w:val="3"/>
            <w:tcBorders/>
          </w:tcPr>
          <w:p>
            <w:pPr>
              <w:pStyle w:val="Normal"/>
              <w:suppressAutoHyphens w:val="false"/>
              <w:snapToGrid w:val="false"/>
              <w:spacing w:lineRule="atLeast" w:line="170"/>
              <w:jc w:val="center"/>
              <w:rPr>
                <w:sz w:val="17"/>
              </w:rPr>
            </w:pPr>
            <w:r>
              <w:rPr>
                <w:sz w:val="17"/>
              </w:rPr>
            </w:r>
          </w:p>
        </w:tc>
      </w:tr>
      <w:tr>
        <w:trPr/>
        <w:tc>
          <w:tcPr>
            <w:tcW w:w="9000" w:type="dxa"/>
            <w:gridSpan w:val="2"/>
            <w:tcBorders/>
          </w:tcPr>
          <w:p>
            <w:pPr>
              <w:pStyle w:val="Level1"/>
              <w:rPr/>
            </w:pPr>
            <w:r>
              <w:rPr/>
              <w:t>7.</w:t>
              <w:tab/>
              <w:t>ACCOUNTING PROCEDURE:  (Cont'd.)</w:t>
            </w:r>
          </w:p>
          <w:p>
            <w:pPr>
              <w:pStyle w:val="Level2"/>
              <w:rPr/>
            </w:pPr>
            <w:r>
              <w:rPr/>
              <w:t>e.</w:t>
              <w:tab/>
            </w:r>
            <w:r>
              <w:rPr>
                <w:u w:val="single"/>
              </w:rPr>
              <w:t>Hazardous Substance Insurance Recovery Account (HSIRA)</w:t>
            </w:r>
            <w:r>
              <w:rPr/>
              <w:t xml:space="preserve"> (Cont’d.)</w:t>
            </w:r>
          </w:p>
          <w:p>
            <w:pPr>
              <w:pStyle w:val="Level3"/>
              <w:rPr/>
            </w:pPr>
            <w:r>
              <w:rPr/>
              <w:t>3)</w:t>
              <w:tab/>
              <w:t>A debit entry to the HSIRA 72 months from the end of the year in which the specific insurance recovery was received for one-fifth, or 20 percent, of the balance for that specific insurance recovery in this account.  The entry is only recorded if the recovery has not been fully allocated to offset covered hazardous substance and insurance litigation costs.*</w:t>
            </w:r>
          </w:p>
          <w:p>
            <w:pPr>
              <w:pStyle w:val="Level3"/>
              <w:rPr/>
            </w:pPr>
            <w:r>
              <w:rPr/>
              <w:t>4)</w:t>
              <w:tab/>
              <w:t>A debit entry to the HSIRA 84 months from the end of the year in which the specific insurance recovery was received for one-fourth, or 25 percent, of the balance for that specific insurance recovery in this account.  The entry is only recorded if the recovery has not been fully allocated to offset covered hazardous substance and insurance litigation costs.*</w:t>
            </w:r>
          </w:p>
          <w:p>
            <w:pPr>
              <w:pStyle w:val="Level3"/>
              <w:rPr/>
            </w:pPr>
            <w:r>
              <w:rPr/>
              <w:t>5)</w:t>
              <w:tab/>
              <w:t>A debit entry to the HSIRA 96 months from the end of the year in which the specific insurance recovery was received for one-third, or 33.333 percent, of the balance for that specific insurance recovery in this account.  The entry is only recorded if the recovery has not been fully allocated to offset covered hazardous substance and insurance litigation costs.*</w:t>
            </w:r>
          </w:p>
          <w:p>
            <w:pPr>
              <w:pStyle w:val="Level3"/>
              <w:rPr/>
            </w:pPr>
            <w:r>
              <w:rPr/>
              <w:t>6)</w:t>
              <w:tab/>
              <w:t>A debit entry to the HSIRA 108 months from the end of the year in which the specific insurance recovery was received for one-half, or 50 percent, of the balance for that specific insurance recovery in this account.  The entry is only recorded if the recovery has not been fully allocated to offset covered hazardous substance and insurance litigation costs.*</w:t>
            </w:r>
          </w:p>
          <w:p>
            <w:pPr>
              <w:pStyle w:val="Level3"/>
              <w:rPr/>
            </w:pPr>
            <w:r>
              <w:rPr/>
              <w:t>7)</w:t>
              <w:tab/>
              <w:t>A debit entry to the HSIRA 120 months from the end of the year in which the specific insurance recovery was received for any remaining portion of the specific insurance recovery in this account.  The entry is only recorded if the recovery has not been fully allocated to offset covered hazardous substance and insurance litigation costs.*</w:t>
            </w:r>
          </w:p>
          <w:p>
            <w:pPr>
              <w:pStyle w:val="Level3"/>
              <w:rPr/>
            </w:pPr>
            <w:r>
              <w:rPr/>
              <w:t>8)</w:t>
              <w:tab/>
              <w:t>A debit or credit entry, as appropriate, to this account equal to interest on the average balance in this account at the beginning of the month and the balance after the monthly entries, at a rate equal to one-twelfth the interest rate on three-month Commercial Paper for the previous month, as reported in the Federal Reserve Statistical Release, G.13, or its successor.</w:t>
            </w:r>
          </w:p>
          <w:p>
            <w:pPr>
              <w:pStyle w:val="Level3"/>
              <w:spacing w:before="0" w:after="200"/>
              <w:ind w:hanging="432" w:start="1728" w:end="0"/>
              <w:rPr/>
            </w:pPr>
            <w:r>
              <w:rPr/>
            </w:r>
          </w:p>
        </w:tc>
        <w:tc>
          <w:tcPr>
            <w:tcW w:w="504" w:type="dxa"/>
            <w:tcBorders/>
          </w:tcPr>
          <w:p>
            <w:pPr>
              <w:pStyle w:val="Normal"/>
              <w:suppressAutoHyphens w:val="false"/>
              <w:snapToGrid w:val="false"/>
              <w:spacing w:lineRule="atLeast" w:line="170"/>
              <w:jc w:val="center"/>
              <w:rPr>
                <w:sz w:val="17"/>
              </w:rPr>
            </w:pPr>
            <w:r>
              <w:rPr>
                <w:sz w:val="17"/>
              </w:rPr>
            </w:r>
          </w:p>
        </w:tc>
        <w:tc>
          <w:tcPr>
            <w:tcW w:w="504" w:type="dxa"/>
            <w:tcBorders/>
          </w:tcPr>
          <w:p>
            <w:pPr>
              <w:pStyle w:val="EditNotation"/>
              <w:rPr/>
            </w:pPr>
            <w:r>
              <w:rPr/>
              <w:t>(L)</w:t>
            </w:r>
          </w:p>
          <w:p>
            <w:pPr>
              <w:pStyle w:val="EditNotation"/>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A corresponding credit entry will be made to the HSCCA for 60 percent of each debit entry under Section 7.e.3 through 7.e.7 above for the ratepayers' portion of the insurance recovery, and a credit entry will be made to the HSCCSA for 40 percent of each debit entry under Section 7.e.3 through 7.e.7 for the shareholders' portion of the insurance recovery.</w:t>
            </w:r>
          </w:p>
        </w:tc>
        <w:tc>
          <w:tcPr>
            <w:tcW w:w="1008" w:type="dxa"/>
            <w:tcBorders/>
          </w:tcPr>
          <w:p>
            <w:pPr>
              <w:pStyle w:val="EditNotation"/>
              <w:suppressAutoHyphens w:val="false"/>
              <w:snapToGrid w:val="false"/>
              <w:spacing w:lineRule="atLeast" w:line="170"/>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81">
                <wp:simplePos x="0" y="0"/>
                <wp:positionH relativeFrom="page">
                  <wp:posOffset>6400800</wp:posOffset>
                </wp:positionH>
                <wp:positionV relativeFrom="page">
                  <wp:posOffset>8869680</wp:posOffset>
                </wp:positionV>
                <wp:extent cx="914400" cy="228600"/>
                <wp:effectExtent l="0" t="0" r="0" b="0"/>
                <wp:wrapNone/>
                <wp:docPr id="47"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8986"/>
        <w:gridCol w:w="14"/>
        <w:gridCol w:w="1008"/>
      </w:tblGrid>
      <w:tr>
        <w:trPr/>
        <w:tc>
          <w:tcPr>
            <w:tcW w:w="8986" w:type="dxa"/>
            <w:tcBorders/>
          </w:tcPr>
          <w:p>
            <w:pPr>
              <w:pStyle w:val="PrelimTitle"/>
              <w:pageBreakBefore/>
              <w:spacing w:lineRule="atLeast" w:line="120" w:before="0" w:after="120"/>
              <w:rPr/>
            </w:pPr>
            <w:r>
              <w:rPr/>
              <w:t>S.</w:t>
              <w:tab/>
              <w:t>HAZARDOUS SUBSTANCE MECHANISM (HSM) (Cont'd.)</w:t>
            </w:r>
          </w:p>
        </w:tc>
        <w:tc>
          <w:tcPr>
            <w:tcW w:w="1022" w:type="dxa"/>
            <w:gridSpan w:val="2"/>
            <w:tcBorders/>
          </w:tcPr>
          <w:p>
            <w:pPr>
              <w:pStyle w:val="Normal"/>
              <w:suppressAutoHyphens w:val="false"/>
              <w:snapToGrid w:val="false"/>
              <w:spacing w:lineRule="exact" w:line="180"/>
              <w:jc w:val="center"/>
              <w:rPr/>
            </w:pPr>
            <w:r>
              <w:rPr/>
            </w:r>
          </w:p>
        </w:tc>
      </w:tr>
      <w:tr>
        <w:trPr/>
        <w:tc>
          <w:tcPr>
            <w:tcW w:w="9000" w:type="dxa"/>
            <w:gridSpan w:val="2"/>
            <w:tcBorders/>
          </w:tcPr>
          <w:p>
            <w:pPr>
              <w:pStyle w:val="Level1"/>
              <w:rPr/>
            </w:pPr>
            <w:r>
              <w:rPr/>
              <w:t>8.</w:t>
              <w:tab/>
              <w:t>OTHER HAZARDOUS SUBSTANCE TRACKING ACCOUNT (OHSTA)</w:t>
            </w:r>
          </w:p>
          <w:p>
            <w:pPr>
              <w:pStyle w:val="Level1Sub"/>
              <w:rPr/>
            </w:pPr>
            <w:r>
              <w:rPr/>
              <w:t>The OHSTA is an interest-bearing tracking account which, at PG&amp;E's option, tracks hazardous substance clean-up, third-party litigation, and insurance litigation costs (collectively, "other hazardous substance costs") relating to sites not included within one of the three defined categories as set forth in D.94</w:t>
              <w:noBreakHyphen/>
              <w:t>05</w:t>
              <w:noBreakHyphen/>
              <w:t>020, Appendix A.</w:t>
            </w:r>
          </w:p>
          <w:p>
            <w:pPr>
              <w:pStyle w:val="Level1Sub"/>
              <w:rPr/>
            </w:pPr>
            <w:r>
              <w:rPr/>
              <w:t>For Manufactured Gas Plant sites not listed in D.94</w:t>
              <w:noBreakHyphen/>
              <w:t>05</w:t>
              <w:noBreakHyphen/>
              <w:t>020, Appendix A, an information notice stating the location of the site and which governmental agency, if any, is overseeing the clean-up, must be sent to the CPUC and all parties to A.91</w:t>
              <w:noBreakHyphen/>
              <w:t>04</w:t>
              <w:noBreakHyphen/>
              <w:t>044 within 15 days of incurring expenses of $50,000 or more for a specific site.</w:t>
            </w:r>
          </w:p>
          <w:p>
            <w:pPr>
              <w:pStyle w:val="Level1Sub"/>
              <w:rPr/>
            </w:pPr>
            <w:r>
              <w:rPr/>
              <w:t>PG&amp;E may, at its option, file an advice letter requesting inclusion of other hazardous substance sites in the HSCRA.  Up to $50,000 may be recorded in the OHSTA for each hazardous substance site prior to advice filing.  At such time as the advice letter for inclusion of a specific site is filed, the $50,000 cap shall be removed.</w:t>
            </w:r>
          </w:p>
          <w:p>
            <w:pPr>
              <w:pStyle w:val="Level1Sub"/>
              <w:rPr/>
            </w:pPr>
            <w:r>
              <w:rPr/>
              <w:t>The advice letter shall include:  (a) the name of the site, (b) location of the site, (c) the source, nature, and approximate date of the contamination, (d) PG&amp;E's operations (historical and current) at the site, if any, and (e) environmental agency actions and oversight, if any, regarding the site.</w:t>
            </w:r>
          </w:p>
          <w:p>
            <w:pPr>
              <w:pStyle w:val="Level1Sub"/>
              <w:rPr/>
            </w:pPr>
            <w:r>
              <w:rPr/>
              <w:t>The advice letter shall be treated as a compliance filing under General Order 96</w:t>
              <w:noBreakHyphen/>
              <w:t>A and will be processed by the CACD within 40 days after the filing, if unopposed.  If the filing is protested, the CACD will either prepare a resolution, or require PG&amp;E to file an application seeking inclusion of the specified other hazardous substance costs in the HSCRA.</w:t>
            </w:r>
          </w:p>
          <w:p>
            <w:pPr>
              <w:pStyle w:val="Level1Sub"/>
              <w:rPr/>
            </w:pPr>
            <w:r>
              <w:rPr/>
              <w:t xml:space="preserve">Or, PG&amp;E may seek full recovery of other hazardous substance costs through the general rate case, by application, or by any other procedure approved by the CPUC.  </w:t>
            </w:r>
          </w:p>
          <w:p>
            <w:pPr>
              <w:pStyle w:val="Level1Sub"/>
              <w:rPr/>
            </w:pPr>
            <w:r>
              <w:rPr/>
              <w:t>The following entries will be recorded to the OHSTA at the end of each month:</w:t>
            </w:r>
          </w:p>
          <w:p>
            <w:pPr>
              <w:pStyle w:val="Level2"/>
              <w:rPr/>
            </w:pPr>
            <w:r>
              <w:rPr/>
              <w:t>a.</w:t>
              <w:tab/>
              <w:t>A debit entry equal to costs incurred associated with other hazardous substance sites.  The costs for each site, including interest, will be recorded separately.</w:t>
            </w:r>
          </w:p>
          <w:p>
            <w:pPr>
              <w:pStyle w:val="Level2"/>
              <w:rPr/>
            </w:pPr>
            <w:r>
              <w:rPr/>
              <w:t>b.</w:t>
              <w:tab/>
              <w:t>A credit entry equal to specific other hazardous substance costs transferred to the HSCRA upon CPUC approval of an advice letter for such costs.</w:t>
            </w:r>
          </w:p>
          <w:p>
            <w:pPr>
              <w:pStyle w:val="Level2"/>
              <w:rPr/>
            </w:pPr>
            <w:r>
              <w:rPr/>
              <w:t>c.</w:t>
              <w:tab/>
              <w:t>A credit entry equal to the amount approved by the CPUC for recovery from ratepayers when PG&amp;E elects to seek full recovery through a process other than the HSCRA.</w:t>
            </w:r>
          </w:p>
          <w:p>
            <w:pPr>
              <w:pStyle w:val="Level2"/>
              <w:spacing w:before="0" w:after="200"/>
              <w:ind w:hanging="432" w:start="1296" w:end="0"/>
              <w:rPr/>
            </w:pPr>
            <w:r>
              <w:rPr/>
              <w:t>d.</w:t>
              <w:tab/>
              <w:t>A debit or credit entry, as appropriate, equal to interest on the average of the account balance in each account at the beginning of the month and the balance after the monthly entries, at a rate equal to one-twelfth the interest rate on three-month Commercial Paper for the previous month, as reported in the Federal Reserve Statistical Release, G.13, or its successor.</w:t>
            </w:r>
          </w:p>
        </w:tc>
        <w:tc>
          <w:tcPr>
            <w:tcW w:w="1008" w:type="dxa"/>
            <w:tcBorders/>
          </w:tcPr>
          <w:p>
            <w:pPr>
              <w:pStyle w:val="Normal"/>
              <w:suppressAutoHyphens w:val="false"/>
              <w:snapToGrid w:val="false"/>
              <w:spacing w:lineRule="exact" w:line="180"/>
              <w:jc w:val="center"/>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Z.</w:t>
              <w:tab/>
              <w:t>ELECTRIC VEHICLE BALANCING ACCOUNT (EVBA)</w:t>
            </w:r>
          </w:p>
        </w:tc>
      </w:tr>
      <w:tr>
        <w:trPr/>
        <w:tc>
          <w:tcPr>
            <w:tcW w:w="9000" w:type="dxa"/>
            <w:tcBorders/>
          </w:tcPr>
          <w:p>
            <w:pPr>
              <w:pStyle w:val="Level1"/>
              <w:rPr/>
            </w:pPr>
            <w:r>
              <w:rPr/>
              <w:t>1.</w:t>
              <w:tab/>
              <w:t>PURPOSE:  The purpose of the EVBA is to record for six years starting January 1, 1996:  (1) all revenue from Customers receiving service under all electric vehicle rate schedules; and (2) all Electric Department revenue requirements on reasonably incurred costs associated with PG&amp;E's Electric Vehicles (EV) Program, and the Electric Department allocated portion of common costs from the Natural Gas Vehicle (NGV) Program, as authorized by the CPUC in Decision 95</w:t>
              <w:noBreakHyphen/>
              <w:t>11</w:t>
              <w:noBreakHyphen/>
              <w:t>035.  Disposition of amounts in this account shall be determined in the annual Revenue Adjustment Proceeding (RAP) or other proceeding expressly authorized by the Commission.</w:t>
            </w:r>
          </w:p>
          <w:p>
            <w:pPr>
              <w:pStyle w:val="Level1Sub"/>
              <w:rPr/>
            </w:pPr>
            <w:r>
              <w:rPr/>
              <w:t>Descriptions of the terms and definitions used in this section are found in Rule 1.</w:t>
            </w:r>
          </w:p>
          <w:p>
            <w:pPr>
              <w:pStyle w:val="Level1"/>
              <w:rPr/>
            </w:pPr>
            <w:r>
              <w:rPr/>
              <w:t>2.</w:t>
              <w:tab/>
              <w:t>APPLICABILITY:  The EVBA balance will be collected from all Customer classes except for those specifically excluded by the CPUC.</w:t>
            </w:r>
          </w:p>
          <w:p>
            <w:pPr>
              <w:pStyle w:val="Level1"/>
              <w:rPr/>
            </w:pPr>
            <w:r>
              <w:rPr/>
              <w:t>3.</w:t>
              <w:tab/>
              <w:t>REVISION DATE:  Disposition of amounts in this account shall be determined in the annual Revenue Adjustment Proceeding (RAP) or other proceeding expressly authorized by the Commission.</w:t>
            </w:r>
          </w:p>
          <w:p>
            <w:pPr>
              <w:pStyle w:val="Level1"/>
              <w:rPr/>
            </w:pPr>
            <w:r>
              <w:rPr/>
              <w:t>4.</w:t>
              <w:tab/>
              <w:t>EVBA RATE:  The EVBA rate is set forth in electric Preliminary Statement Part I.  The EVBA rate becomes effective on the date the Commission approves the interim California Procurement Adjustment Balancing Account (CPABA) (electric Preliminary Statement Part XX).</w:t>
            </w:r>
          </w:p>
          <w:p>
            <w:pPr>
              <w:pStyle w:val="Level1"/>
              <w:rPr/>
            </w:pPr>
            <w:r>
              <w:rPr/>
              <w:t>5.</w:t>
              <w:tab/>
              <w:t xml:space="preserve">ACCOUNTING PROCEDURE:  </w:t>
            </w:r>
          </w:p>
          <w:p>
            <w:pPr>
              <w:pStyle w:val="Level1Sub"/>
              <w:rPr/>
            </w:pPr>
            <w:r>
              <w:rPr/>
              <w:t>PG&amp;E shall maintain the EVBA by making entries at the end of each month as follows:</w:t>
            </w:r>
          </w:p>
          <w:p>
            <w:pPr>
              <w:pStyle w:val="Level2"/>
              <w:rPr/>
            </w:pPr>
            <w:r>
              <w:rPr/>
              <w:t>a.</w:t>
              <w:tab/>
              <w:t>A credit entry equal to the revenue for deliveries during the month under all electric vehicle rate schedules, excluding the allowance for franchise fees and uncollectible (FF&amp;U) accounts expenses.</w:t>
            </w:r>
          </w:p>
          <w:p>
            <w:pPr>
              <w:pStyle w:val="Level2"/>
              <w:rPr/>
            </w:pPr>
            <w:r>
              <w:rPr/>
              <w:t>b.</w:t>
              <w:tab/>
              <w:t>A debit entry equal to:</w:t>
            </w:r>
          </w:p>
          <w:p>
            <w:pPr>
              <w:pStyle w:val="Level3"/>
              <w:rPr/>
            </w:pPr>
            <w:r>
              <w:rPr/>
              <w:t>1)</w:t>
              <w:tab/>
              <w:t>The incremental amounts recorded in PG&amp;E's Operations and Maintenance, and Administrative and General Expense Accounts that were incurred for the Electric Department's portion of the EV Program; and the Electric Department allocated portion of common PG&amp;E fleet expenses from the NGV program; plus</w:t>
            </w:r>
          </w:p>
          <w:p>
            <w:pPr>
              <w:pStyle w:val="Level3"/>
              <w:rPr/>
            </w:pPr>
            <w:r>
              <w:rPr/>
              <w:t>2)</w:t>
              <w:tab/>
              <w:t>Depreciation expense on the average of the beginning and the end</w:t>
              <w:noBreakHyphen/>
              <w:t>of</w:t>
              <w:noBreakHyphen/>
              <w:t>month balance of plant installed to support the Electric Department's portion of the EV Program, and the Electric Department allocated portion of common facilities from the NGV Program, at one</w:t>
              <w:noBreakHyphen/>
              <w:t>twelfth the depreciation rate approved by the CPUC for these plant accounts; plus</w:t>
            </w:r>
          </w:p>
          <w:p>
            <w:pPr>
              <w:pStyle w:val="Level3"/>
              <w:rPr/>
            </w:pPr>
            <w:r>
              <w:rPr/>
              <w:t>3)</w:t>
              <w:tab/>
              <w:t>The return on investment on the average of the beginning and the end</w:t>
              <w:noBreakHyphen/>
              <w:t>of</w:t>
              <w:noBreakHyphen/>
              <w:t>month balance of plant installed to support the Electric Department's portion of the EV Program and the Electric Department allocated portion of common facilities from the NGV Program, at one</w:t>
              <w:noBreakHyphen/>
              <w:t>twelfth of the annual rate of return on investment last adopted for the electric department by the CPUC; less</w:t>
            </w:r>
          </w:p>
          <w:p>
            <w:pPr>
              <w:pStyle w:val="Level3"/>
              <w:rPr/>
            </w:pPr>
            <w:r>
              <w:rPr/>
              <w:t>4)</w:t>
              <w:tab/>
              <w:t>The return on the average of beginning and end</w:t>
              <w:noBreakHyphen/>
              <w:t>of</w:t>
              <w:noBreakHyphen/>
              <w:t>month accumulated depreciation, and on average accumulated net deferred taxes on income resulting from the normalization of federal tax depreciation, using the rate of return in Z.5.b.3 above; plus</w:t>
            </w:r>
          </w:p>
          <w:p>
            <w:pPr>
              <w:pStyle w:val="Level3"/>
              <w:spacing w:before="0" w:after="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82">
                <wp:simplePos x="0" y="0"/>
                <wp:positionH relativeFrom="page">
                  <wp:posOffset>6400800</wp:posOffset>
                </wp:positionH>
                <wp:positionV relativeFrom="page">
                  <wp:posOffset>8869680</wp:posOffset>
                </wp:positionV>
                <wp:extent cx="914400" cy="228600"/>
                <wp:effectExtent l="0" t="0" r="0" b="0"/>
                <wp:wrapNone/>
                <wp:docPr id="52"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Z.</w:t>
              <w:tab/>
              <w:t>ELECTRIC VEHICLE BALANCING ACCOUNT (EVBA) (Cont'd.)</w:t>
            </w:r>
          </w:p>
        </w:tc>
      </w:tr>
      <w:tr>
        <w:trPr/>
        <w:tc>
          <w:tcPr>
            <w:tcW w:w="9000" w:type="dxa"/>
            <w:tcBorders/>
          </w:tcPr>
          <w:p>
            <w:pPr>
              <w:pStyle w:val="Level1"/>
              <w:numPr>
                <w:ilvl w:val="0"/>
                <w:numId w:val="7"/>
              </w:numPr>
              <w:rPr/>
            </w:pPr>
            <w:r>
              <w:rPr/>
              <w:t>ACCOUNTING PROCEDURE:  (Cont'd.)</w:t>
            </w:r>
          </w:p>
          <w:p>
            <w:pPr>
              <w:pStyle w:val="Level2"/>
              <w:rPr/>
            </w:pPr>
            <w:r>
              <w:rPr/>
              <w:t>b.</w:t>
              <w:tab/>
              <w:t>(Cont’d.)</w:t>
            </w:r>
          </w:p>
          <w:p>
            <w:pPr>
              <w:pStyle w:val="Level3"/>
              <w:rPr/>
            </w:pPr>
            <w:r>
              <w:rPr/>
              <w:t>5)</w:t>
              <w:tab/>
              <w:t>The federal and state taxes based on income associated with items Z.5.b.3 and Z.5.b.4 above, calculated at marginal tax rates currently in effect.  This will include all statutory adjustments.  For Federal and State taxes, this will conform to normalization requirements, as applicable.  Interest cost will be equal to the percentage of net investment last adopted by the CPUC for PG&amp;E; plus</w:t>
            </w:r>
          </w:p>
          <w:p>
            <w:pPr>
              <w:pStyle w:val="Level3"/>
              <w:rPr/>
            </w:pPr>
            <w:r>
              <w:rPr/>
              <w:t>6)</w:t>
              <w:tab/>
              <w:t>The recorded energy costs for the EV program.</w:t>
            </w:r>
          </w:p>
          <w:p>
            <w:pPr>
              <w:pStyle w:val="Level2"/>
              <w:rPr/>
            </w:pPr>
            <w:r>
              <w:rPr/>
              <w:t>c.</w:t>
              <w:tab/>
              <w:t>A credit entry equal to the total recorded EVBA revenue, excluding an allowance for FF&amp;U accounts expenses.</w:t>
            </w:r>
          </w:p>
          <w:p>
            <w:pPr>
              <w:pStyle w:val="Level2"/>
              <w:rPr/>
            </w:pPr>
            <w:r>
              <w:rPr/>
              <w:t>d.</w:t>
              <w:tab/>
              <w:t>An entry equal to interest on the average balance in the EVBA at the beginning of the month and the balance at the end of the month at a rate equal to one</w:t>
              <w:noBreakHyphen/>
              <w:t>twelfth the interest rate on three</w:t>
              <w:noBreakHyphen/>
              <w:t>month Commercial Paper for the previous month, as reported in the Federal Reserve Statistical Release, G.13. or its successor.</w:t>
            </w:r>
          </w:p>
          <w:p>
            <w:pPr>
              <w:pStyle w:val="Level2"/>
              <w:rPr/>
            </w:pPr>
            <w:r>
              <w:rPr/>
              <w:t>e.</w:t>
              <w:tab/>
              <w:t>The recorded costs underlying the revenue requirement entries Z.5.b.1 through Z.5.b.5 to this account, shall not exceed the expenditure levels in current year dollars and fund shifting restrictions for the six</w:t>
              <w:noBreakHyphen/>
              <w:t>year period beginning January 1, 1996, through December 31, 2001, as authorized in Decision No. 95</w:t>
              <w:noBreakHyphen/>
              <w:t>11</w:t>
              <w:noBreakHyphen/>
              <w:t>035.</w:t>
            </w:r>
          </w:p>
          <w:p>
            <w:pPr>
              <w:pStyle w:val="Normal"/>
              <w:rPr/>
            </w:pPr>
            <w:r>
              <w:rPr/>
            </w:r>
          </w:p>
        </w:tc>
        <w:tc>
          <w:tcPr>
            <w:tcW w:w="1008" w:type="dxa"/>
            <w:tcBorders/>
          </w:tcPr>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t>(D)</w:t>
            </w:r>
          </w:p>
          <w:p>
            <w:pPr>
              <w:pStyle w:val="EditNotation"/>
              <w:rPr/>
            </w:pPr>
            <w:r>
              <w:rPr/>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AD.</w:t>
              <w:tab/>
              <w:t>TRANSITION COST AUDIT MEMORANDUM ACCOUNT (TCAMA)</w:t>
            </w:r>
          </w:p>
        </w:tc>
      </w:tr>
      <w:tr>
        <w:trPr/>
        <w:tc>
          <w:tcPr>
            <w:tcW w:w="9000" w:type="dxa"/>
            <w:tcBorders/>
          </w:tcPr>
          <w:p>
            <w:pPr>
              <w:pStyle w:val="Level1"/>
              <w:rPr/>
            </w:pPr>
            <w:r>
              <w:rPr/>
              <w:t>1.</w:t>
              <w:tab/>
              <w:t>PURPOSE:  The purpose of the TCAMA is to record all invoiced auditor costs incurred by PG&amp;E associated with independent audits of PG&amp;E’s recorded transition costs and revenues as authorized by the Commission.</w:t>
            </w:r>
          </w:p>
          <w:p>
            <w:pPr>
              <w:pStyle w:val="Level1"/>
              <w:rPr/>
            </w:pPr>
            <w:r>
              <w:rPr/>
              <w:t>2.</w:t>
              <w:tab/>
              <w:t>APPLICABILITY:  The TCAMA shall apply to all customer classes, except for those specifically excluded by the Commission.</w:t>
            </w:r>
          </w:p>
          <w:p>
            <w:pPr>
              <w:pStyle w:val="Level1"/>
              <w:rPr/>
            </w:pPr>
            <w:r>
              <w:rPr/>
              <w:t>3.</w:t>
              <w:tab/>
              <w:t>TCAMA RATES:  The TCAMA does not currently have a rate component.</w:t>
            </w:r>
          </w:p>
          <w:p>
            <w:pPr>
              <w:pStyle w:val="Level1"/>
              <w:rPr/>
            </w:pPr>
            <w:r>
              <w:rPr/>
              <w:t>4.</w:t>
              <w:tab/>
              <w:t>ACCOUNTING PROCEDURE:  PG&amp;E shall maintain the TCAMA by making entries at the end of each month as follows:</w:t>
            </w:r>
          </w:p>
          <w:p>
            <w:pPr>
              <w:pStyle w:val="Level2"/>
              <w:numPr>
                <w:ilvl w:val="0"/>
                <w:numId w:val="5"/>
              </w:numPr>
              <w:rPr/>
            </w:pPr>
            <w:r>
              <w:rPr/>
              <w:t>A debit entry equal to PG&amp;E's share of the invoiced audit costs associated with any independent audit of PG&amp;E’s transition costs and revenues.</w:t>
            </w:r>
          </w:p>
          <w:p>
            <w:pPr>
              <w:pStyle w:val="Level2"/>
              <w:numPr>
                <w:ilvl w:val="0"/>
                <w:numId w:val="5"/>
              </w:numPr>
              <w:rPr/>
            </w:pPr>
            <w:r>
              <w:rPr/>
              <w:t>A debit entry equal to the interest on the average of the balance at the beginning of the month and the balance after entry 4.a, at a rate equal to one</w:t>
              <w:noBreakHyphen/>
              <w:t>twelfth the interest rate on three</w:t>
              <w:noBreakHyphen/>
              <w:t xml:space="preserve">month Commercial Paper for the previous month, as reported in the Federal Reserve Statistical Release, G.13 or its successor.  </w:t>
            </w:r>
          </w:p>
          <w:p>
            <w:pPr>
              <w:pStyle w:val="PrelimBody"/>
              <w:rPr/>
            </w:pPr>
            <w:r>
              <w:rPr/>
              <w:t>Once an audit report is completed, PG&amp;E may request recovery of the balance in the TCAMA through the California Procurement Adjustment Balancing Account (CPABA) (electric Preliminary Statement Part XX).</w:t>
            </w:r>
          </w:p>
          <w:p>
            <w:pPr>
              <w:pStyle w:val="Normal"/>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tc>
      </w:tr>
    </w:tbl>
    <w:p>
      <w:pPr>
        <w:pStyle w:val="Normal"/>
        <w:rPr/>
      </w:pPr>
      <w:r>
        <w:rPr/>
      </w:r>
    </w:p>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0"/>
          <w:headerReference w:type="first" r:id="rId41"/>
          <w:footerReference w:type="default" r:id="rId42"/>
          <w:footerReference w:type="first" r:id="rId4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AL.</w:t>
              <w:tab/>
              <w:t>GENERATION ASSET BALANCING ACCOUNT (GABA)</w:t>
            </w:r>
          </w:p>
        </w:tc>
      </w:tr>
      <w:tr>
        <w:trPr>
          <w:trHeight w:val="7542" w:hRule="atLeast"/>
        </w:trPr>
        <w:tc>
          <w:tcPr>
            <w:tcW w:w="9000" w:type="dxa"/>
            <w:tcBorders/>
          </w:tcPr>
          <w:p>
            <w:pPr>
              <w:pStyle w:val="Level1"/>
              <w:rPr/>
            </w:pPr>
            <w:r>
              <w:rPr/>
              <w:t>1.</w:t>
              <w:tab/>
              <w:t>PURPOSE:  The purpose of the GABA is to:  1) record the debit corresponding to the credit to the Transition Cost Balancing Account (TCBA) (electric Preliminary Statement Part AV) for aggregate estimated market value of remaining non-nuclear generation assets, less the net book value of those assets, 2) record the net gain or loss from the final valuation of the assets, and 3) transfer the resulting balance of the GABA to the California Procurement Adjustment Balancing Account (CPABA) (electric Preliminary Statement Part XX) upon final market valuation.</w:t>
            </w:r>
          </w:p>
          <w:p>
            <w:pPr>
              <w:pStyle w:val="Level1"/>
              <w:rPr/>
            </w:pPr>
            <w:r>
              <w:rPr/>
              <w:t>2.</w:t>
              <w:tab/>
              <w:t>APPLICABILITY:  The GABA shall apply to all customer classes, except for those specifically excluded by the Commission.</w:t>
            </w:r>
          </w:p>
          <w:p>
            <w:pPr>
              <w:pStyle w:val="Level1"/>
              <w:rPr/>
            </w:pPr>
            <w:r>
              <w:rPr/>
              <w:t>3.</w:t>
              <w:tab/>
              <w:t>GABA RATES:  The GABA does not have a rate component.</w:t>
            </w:r>
          </w:p>
          <w:p>
            <w:pPr>
              <w:pStyle w:val="Level1"/>
              <w:rPr/>
            </w:pPr>
            <w:r>
              <w:rPr/>
              <w:t>4.</w:t>
              <w:tab/>
              <w:t>ACCOUNTING PROCEDURE:  PG&amp;E shall maintain the GABA by making entries at the end of each month as follows:</w:t>
            </w:r>
          </w:p>
          <w:p>
            <w:pPr>
              <w:pStyle w:val="Level2"/>
              <w:numPr>
                <w:ilvl w:val="0"/>
                <w:numId w:val="3"/>
              </w:numPr>
              <w:rPr/>
            </w:pPr>
            <w:r>
              <w:rPr/>
              <w:t>A debit entry equal to and offsetting the credit to the TCBA (Preliminary Statement Part AV) for aggregate estimated market value of remaining non-nuclear generation assets, less the net book value of those assets, per Decisions 00-02-048 and 00-06-004.</w:t>
            </w:r>
          </w:p>
          <w:p>
            <w:pPr>
              <w:pStyle w:val="Level2-TextList"/>
              <w:tabs>
                <w:tab w:val="clear" w:pos="432"/>
                <w:tab w:val="left" w:pos="1284" w:leader="none"/>
              </w:tabs>
              <w:ind w:hanging="450" w:start="1318" w:end="0"/>
              <w:rPr/>
            </w:pPr>
            <w:r>
              <w:rPr/>
              <w:t>b.</w:t>
              <w:tab/>
              <w:t>An entry at the time of final market valuation of each asset, equal to the CPUC portion of the following three components:  1) market value of each plant, 2) less the net book value of the plant, 3) less transaction costs and other costs that are authorized for recovery through the market valuation process, pursuant to Decision 97</w:t>
              <w:noBreakHyphen/>
              <w:t>11</w:t>
              <w:noBreakHyphen/>
              <w:t>074, FOF 21, Decision 97</w:t>
              <w:noBreakHyphen/>
              <w:t>12</w:t>
              <w:noBreakHyphen/>
              <w:t>039, FOF 3, and Decision 00-06-004.</w:t>
            </w:r>
          </w:p>
          <w:p>
            <w:pPr>
              <w:pStyle w:val="Level2Sub"/>
              <w:tabs>
                <w:tab w:val="clear" w:pos="432"/>
                <w:tab w:val="left" w:pos="1284" w:leader="none"/>
              </w:tabs>
              <w:ind w:hanging="420" w:start="1318" w:end="0"/>
              <w:rPr/>
            </w:pPr>
            <w:r>
              <w:rPr/>
              <w:t>c.</w:t>
              <w:tab/>
              <w:t>An entry to transfer any credit balance in this account to the CPABA upon final market valuation.</w:t>
            </w:r>
          </w:p>
          <w:p>
            <w:pPr>
              <w:pStyle w:val="Level2"/>
              <w:tabs>
                <w:tab w:val="clear" w:pos="432"/>
                <w:tab w:val="left" w:pos="1284" w:leader="none"/>
              </w:tabs>
              <w:ind w:hanging="420" w:end="0"/>
              <w:rPr/>
            </w:pPr>
            <w:r>
              <w:rPr/>
              <w:t>d.</w:t>
              <w:tab/>
              <w:t>An entry equal to the interest on the average of the balance at the beginning of the month and the balance after entries 4.a through 4.c, at a rate equal to one</w:t>
              <w:noBreakHyphen/>
              <w:t>twelfth the interest rate on three</w:t>
              <w:noBreakHyphen/>
              <w:t xml:space="preserve">month Commercial Paper for the previous month, as reported in the Federal Reserve Statistical Release, G.13 or its successor.  </w:t>
            </w:r>
          </w:p>
          <w:p>
            <w:pPr>
              <w:pStyle w:val="PrelimBody"/>
              <w:spacing w:before="0" w:after="200"/>
              <w:rPr/>
            </w:pPr>
            <w:r>
              <w:rPr/>
            </w:r>
          </w:p>
        </w:tc>
        <w:tc>
          <w:tcPr>
            <w:tcW w:w="1008" w:type="dxa"/>
            <w:tcBorders/>
          </w:tcPr>
          <w:p>
            <w:pPr>
              <w:pStyle w:val="EditNotation"/>
              <w:snapToGrid w:val="false"/>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r>
          </w:p>
          <w:p>
            <w:pPr>
              <w:pStyle w:val="EditNotation"/>
              <w:spacing w:lineRule="exact" w:line="180"/>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AM.</w:t>
              <w:tab/>
            </w:r>
            <w:r>
              <w:rPr>
                <w:rFonts w:cs="Arial"/>
              </w:rPr>
              <w:t>EMERGENCY PROCUREMENT SURCHARGE BALANCING ACCOUNT (EPSBA)</w:t>
            </w:r>
          </w:p>
        </w:tc>
        <w:tc>
          <w:tcPr>
            <w:tcW w:w="1008" w:type="dxa"/>
            <w:tcBorders/>
          </w:tcPr>
          <w:p>
            <w:pPr>
              <w:pStyle w:val="EditNotation"/>
              <w:snapToGrid w:val="false"/>
              <w:rPr/>
            </w:pPr>
            <w:r>
              <w:rPr/>
            </w:r>
          </w:p>
        </w:tc>
      </w:tr>
      <w:tr>
        <w:trPr/>
        <w:tc>
          <w:tcPr>
            <w:tcW w:w="9000" w:type="dxa"/>
            <w:tcBorders/>
          </w:tcPr>
          <w:p>
            <w:pPr>
              <w:pStyle w:val="Level1"/>
              <w:rPr/>
            </w:pPr>
            <w:r>
              <w:rPr/>
              <w:t>1.</w:t>
              <w:tab/>
              <w:t>PURPOSE:  The purpose of the EPSBA is to record, by customer class, the Emergency Procurement Surcharge (EPS) established in D.01-01-018 and apply these revenues to the ongoing procurement costs.  The EPS revenue and the ongoing procurement costs will be recorded in a separate subaccount for each customer class.  Entries to the EPSBA will cease upon the effective date of the interim California Procurement Adjustment Balancing Account (CPABA), electric Preliminary Statement Part XX, and the disposition of any overcollected balance in the EPSBA will be determined in a separate proceeding.</w:t>
            </w:r>
          </w:p>
          <w:p>
            <w:pPr>
              <w:pStyle w:val="Level1"/>
              <w:rPr/>
            </w:pPr>
            <w:r>
              <w:rPr/>
              <w:t>2.</w:t>
              <w:tab/>
              <w:t xml:space="preserve">APPLICABILITY:  </w:t>
            </w:r>
            <w:r>
              <w:rPr>
                <w:rFonts w:cs="Arial"/>
              </w:rPr>
              <w:t>The EPSBA shall apply to all electric customers except for those customers eligible for the California Alternative Rates for Energy (CARE) program</w:t>
            </w:r>
            <w:r>
              <w:rPr/>
              <w:t>, and customers on Schedule E-DEPART</w:t>
            </w:r>
            <w:r>
              <w:rPr>
                <w:rFonts w:cs="Arial"/>
              </w:rPr>
              <w:t>.</w:t>
            </w:r>
          </w:p>
          <w:p>
            <w:pPr>
              <w:pStyle w:val="Level1"/>
              <w:rPr/>
            </w:pPr>
            <w:r>
              <w:rPr/>
              <w:t>3.</w:t>
              <w:tab/>
              <w:t xml:space="preserve">REVISION DATE:  </w:t>
            </w:r>
            <w:r>
              <w:rPr>
                <w:rFonts w:cs="Arial"/>
              </w:rPr>
              <w:t>Disposition of amounts in this account shall be determined in a proceeding authorized by the Commission.</w:t>
            </w:r>
          </w:p>
          <w:p>
            <w:pPr>
              <w:pStyle w:val="Level1"/>
              <w:rPr/>
            </w:pPr>
            <w:r>
              <w:rPr/>
              <w:t>4.</w:t>
              <w:tab/>
              <w:t xml:space="preserve">RATE:  </w:t>
            </w:r>
            <w:r>
              <w:rPr>
                <w:rFonts w:cs="Arial"/>
              </w:rPr>
              <w:t>The EPSBA rate is set forth in Schedule E-EPS.</w:t>
            </w:r>
          </w:p>
          <w:p>
            <w:pPr>
              <w:pStyle w:val="Level1"/>
              <w:rPr/>
            </w:pPr>
            <w:r>
              <w:rPr/>
              <w:t>5.</w:t>
              <w:tab/>
              <w:t xml:space="preserve">ACCOUNTING PROCEDURE:  Separate subaccounts will be set up by customer class.  </w:t>
            </w:r>
            <w:r>
              <w:rPr>
                <w:rFonts w:cs="Arial"/>
              </w:rPr>
              <w:t>The following entries shall be made for each subaccount each month:</w:t>
            </w:r>
          </w:p>
          <w:p>
            <w:pPr>
              <w:pStyle w:val="Level2"/>
              <w:rPr/>
            </w:pPr>
            <w:r>
              <w:rPr/>
              <w:t>a.</w:t>
              <w:tab/>
              <w:t>A credit</w:t>
            </w:r>
            <w:r>
              <w:rPr>
                <w:b/>
                <w:bCs/>
              </w:rPr>
              <w:t xml:space="preserve"> </w:t>
            </w:r>
            <w:r>
              <w:rPr/>
              <w:t>entry equal to the EPS revenues received from the customer class during the month.</w:t>
            </w:r>
          </w:p>
          <w:p>
            <w:pPr>
              <w:pStyle w:val="Level2"/>
              <w:rPr/>
            </w:pPr>
            <w:r>
              <w:rPr/>
              <w:t>b.</w:t>
              <w:tab/>
              <w:t>A debit entry equal to the amount recorded for all power obtained for PG&amp;E’s customers as used in Schedule PX, to the extent these costs are incurred on or after January 4, 2001.</w:t>
            </w:r>
          </w:p>
          <w:p>
            <w:pPr>
              <w:pStyle w:val="Level2"/>
              <w:rPr/>
            </w:pPr>
            <w:r>
              <w:rPr/>
              <w:t>c.</w:t>
              <w:tab/>
              <w:t>A credit entry, if the sum of the beginning of the month balance and the entries above is a debit, to transfer that sum to the TRA (electric Preliminary Statement Part N).</w:t>
            </w:r>
          </w:p>
          <w:p>
            <w:pPr>
              <w:pStyle w:val="Level2"/>
              <w:spacing w:before="0" w:after="200"/>
              <w:ind w:hanging="432" w:start="1296" w:end="0"/>
              <w:rPr/>
            </w:pPr>
            <w:r>
              <w:rPr/>
              <w:t>d.</w:t>
              <w:tab/>
              <w:t>A monthly entry equal to interest on the average balance in the account at the beginning of the month and the balance after the above entries, at a rate equal to one-twelfth of the interest rate on three month Commercial Paper for the previous month, as reported in the Federal Reserve Statistical Release, G. 13 or its successor.</w:t>
            </w:r>
          </w:p>
        </w:tc>
        <w:tc>
          <w:tcPr>
            <w:tcW w:w="1008" w:type="dxa"/>
            <w:tcBorders/>
          </w:tcPr>
          <w:p>
            <w:pPr>
              <w:pStyle w:val="EditNotation"/>
              <w:snapToGrid w:val="false"/>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83">
                <wp:simplePos x="0" y="0"/>
                <wp:positionH relativeFrom="page">
                  <wp:posOffset>6400800</wp:posOffset>
                </wp:positionH>
                <wp:positionV relativeFrom="page">
                  <wp:posOffset>8869680</wp:posOffset>
                </wp:positionV>
                <wp:extent cx="914400" cy="228600"/>
                <wp:effectExtent l="0" t="0" r="0" b="0"/>
                <wp:wrapNone/>
                <wp:docPr id="65"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6"/>
          <w:footerReference w:type="default" r:id="rId4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BF.</w:t>
              <w:tab/>
              <w:t>STREAMLINING RESIDUAL ACCOUNT (SRA)</w:t>
            </w:r>
          </w:p>
        </w:tc>
      </w:tr>
      <w:tr>
        <w:trPr/>
        <w:tc>
          <w:tcPr>
            <w:tcW w:w="9000" w:type="dxa"/>
            <w:tcBorders/>
          </w:tcPr>
          <w:p>
            <w:pPr>
              <w:pStyle w:val="Level1"/>
              <w:rPr/>
            </w:pPr>
            <w:r>
              <w:rPr/>
              <w:t>1.</w:t>
              <w:tab/>
              <w:t>PURPOSE:  The purpose of the Streamlining Residual Account (SRA) is to record and recover certain Commission-approved distribution-related costs.  The costs include, but are not limited to, reimbursement of rate case expenses paid to the Commission and intervenor compensation.  The SRA is established pursuant to Resolution E-3514 and Decisions 99-10-057 and 00-06-034.</w:t>
            </w:r>
          </w:p>
          <w:p>
            <w:pPr>
              <w:pStyle w:val="Level1"/>
              <w:rPr/>
            </w:pPr>
            <w:r>
              <w:rPr/>
              <w:t>2.</w:t>
              <w:tab/>
              <w:t>APPLICABILITY:  This SRA shall apply to all customer classes, except for those specifically excluded by the Commission.</w:t>
            </w:r>
          </w:p>
          <w:p>
            <w:pPr>
              <w:pStyle w:val="Level1"/>
              <w:rPr/>
            </w:pPr>
            <w:r>
              <w:rPr/>
              <w:t>3.</w:t>
              <w:tab/>
              <w:t>SRA RATE:  The SRA rate is set forth in electric Preliminary Statement Part I.  The SRA rate becomes effective on the date the Commission approves the interim California Procurement Adjustment Balancing Account (CPABA) (electric Preliminary Statement Part XX).</w:t>
            </w:r>
          </w:p>
          <w:p>
            <w:pPr>
              <w:pStyle w:val="Level1"/>
              <w:rPr/>
            </w:pPr>
            <w:r>
              <w:rPr/>
              <w:t>4.</w:t>
              <w:tab/>
              <w:t>ACCOUNTING PROCEDURE:  PG&amp;E shall maintain the SRA by making entries to this account at the end of each month as follows:</w:t>
            </w:r>
          </w:p>
          <w:p>
            <w:pPr>
              <w:pStyle w:val="Level2"/>
              <w:rPr/>
            </w:pPr>
            <w:r>
              <w:rPr/>
              <w:t>a.</w:t>
              <w:tab/>
              <w:t>A debit entry equal to the amounts paid to the Commission for reimbursement of rate case expenses billed to the Utility pursuant to Public Utilities Code Section 631, plus an allowance for Franchise Fees and Uncollectible (FF&amp;U) Accounts expense.</w:t>
            </w:r>
          </w:p>
          <w:p>
            <w:pPr>
              <w:pStyle w:val="Level2"/>
              <w:rPr/>
            </w:pPr>
            <w:r>
              <w:rPr/>
              <w:t>b.</w:t>
              <w:tab/>
              <w:t>A debit entry equal to the intervenor compensation payments authorized by the Commission, recorded during the month, plus an allowance for FF&amp;U Accounts expense.</w:t>
            </w:r>
          </w:p>
          <w:p>
            <w:pPr>
              <w:pStyle w:val="Level2"/>
              <w:rPr/>
            </w:pPr>
            <w:r>
              <w:rPr/>
              <w:t>c.</w:t>
              <w:tab/>
              <w:t>A credit entry equal to the total recorded SRA revenue.</w:t>
            </w:r>
          </w:p>
          <w:p>
            <w:pPr>
              <w:pStyle w:val="Level2"/>
              <w:rPr/>
            </w:pPr>
            <w:r>
              <w:rPr/>
              <w:t>d.</w:t>
              <w:tab/>
              <w:t xml:space="preserve">An entry equal to interest on the average balance in the account at the beginning of the month and the balance after the above entries, at a rate equal to one-twelfth the interest rate on three-month Commercial Paper for the previous month, as reported in the Federal Reserve Statistical Release, G.13 or its successor. </w:t>
            </w:r>
          </w:p>
          <w:p>
            <w:pPr>
              <w:pStyle w:val="PrelimBody"/>
              <w:spacing w:lineRule="exact" w:line="200" w:before="0" w:after="200"/>
              <w:ind w:hanging="0" w:start="432" w:end="0"/>
              <w:rPr/>
            </w:pPr>
            <w:r>
              <w:rPr/>
              <w:t>The disposition of amounts in this account shall be reviewed, authorized, and functionalized as determined in the annual Revenue Adjustment Proceeding (RAP) or other proceeding expressly authorized by the Commission.</w:t>
            </w:r>
          </w:p>
        </w:tc>
        <w:tc>
          <w:tcPr>
            <w:tcW w:w="1008" w:type="dxa"/>
            <w:tcBorders/>
          </w:tcPr>
          <w:p>
            <w:pPr>
              <w:pStyle w:val="EditNotation"/>
              <w:rPr/>
            </w:pPr>
            <w:r>
              <w:rPr/>
              <w:t>(T)</w:t>
            </w:r>
          </w:p>
          <w:p>
            <w:pPr>
              <w:pStyle w:val="EditNotation"/>
              <w:rPr/>
            </w:pPr>
            <w:r>
              <w:rPr/>
              <w:t>|</w:t>
            </w:r>
          </w:p>
          <w:p>
            <w:pPr>
              <w:pStyle w:val="EditNotation"/>
              <w:rPr/>
            </w:pPr>
            <w:r>
              <w:rPr/>
              <w: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t>(N)</w:t>
            </w:r>
          </w:p>
          <w:p>
            <w:pPr>
              <w:pStyle w:val="EditNotation"/>
              <w:rPr/>
            </w:pPr>
            <w:r>
              <w:rPr/>
            </w:r>
          </w:p>
          <w:p>
            <w:pPr>
              <w:pStyle w:val="EditNotation"/>
              <w:rPr/>
            </w:pPr>
            <w:r>
              <w:rPr/>
              <w:t>(T)</w:t>
            </w:r>
          </w:p>
          <w:p>
            <w:pPr>
              <w:pStyle w:val="EditNotation"/>
              <w:rPr/>
            </w:pPr>
            <w:r>
              <w:rPr/>
              <w:t>(T)</w:t>
            </w:r>
          </w:p>
          <w:p>
            <w:pPr>
              <w:pStyle w:val="EditNotation"/>
              <w:rPr/>
            </w:pPr>
            <w:r>
              <w:rPr/>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8"/>
          <w:footerReference w:type="default" r:id="rId4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BG.</w:t>
              <w:tab/>
              <w:t>GENERATING FACILITY OPERATIONS AND MAINTENANCE ACCOUNT (GFOM)</w:t>
            </w:r>
          </w:p>
        </w:tc>
      </w:tr>
      <w:tr>
        <w:trPr/>
        <w:tc>
          <w:tcPr>
            <w:tcW w:w="9000" w:type="dxa"/>
            <w:tcBorders/>
          </w:tcPr>
          <w:p>
            <w:pPr>
              <w:pStyle w:val="Level1"/>
              <w:numPr>
                <w:ilvl w:val="0"/>
                <w:numId w:val="8"/>
              </w:numPr>
              <w:rPr/>
            </w:pPr>
            <w:r>
              <w:rPr/>
              <w:t xml:space="preserve">PURPOSE:  </w:t>
            </w:r>
          </w:p>
          <w:p>
            <w:pPr>
              <w:pStyle w:val="Level1Sub"/>
              <w:rPr/>
            </w:pPr>
            <w:r>
              <w:rPr/>
              <w:t>The purpose of the GFOM is to record expenses incurred in performing PG&amp;E’s duties under the Operations and Maintenance (O&amp;M) Agreements for the two-year term of the Agreements for divested plants and revenues received through those same agreements, in accordance with Decision 97-06-060, Decision 97-09-046, and Decision 97-11-030.  In addition the GFOM records the fixed and continuing Administrative and General (A&amp;G) expense and the revenue requirement for the fixed and continuing common and general (C&amp;G) plant associated with PG&amp;E’s divested plants pursuant to Decision 97-08-056 and Resolution E-3580.  The GFOM will record the fixed and continuing A&amp;G expense, including fixed and continuing A&amp;G expense, and C&amp;G plant amounts during the two-year term of the O&amp;M Agreement, for the period beginning with the effective date of Advice 1849-E for the divested plants and the date of closing of the sale for PG&amp;E’s remaining non-nuclear generating plants.</w:t>
            </w:r>
          </w:p>
          <w:p>
            <w:pPr>
              <w:pStyle w:val="Level1"/>
              <w:numPr>
                <w:ilvl w:val="0"/>
                <w:numId w:val="8"/>
              </w:numPr>
              <w:rPr/>
            </w:pPr>
            <w:r>
              <w:rPr/>
              <w:t>APPLICABILITY:  The GFOM shall not directly apply to customer classes.</w:t>
            </w:r>
          </w:p>
          <w:p>
            <w:pPr>
              <w:pStyle w:val="Level1Sub"/>
              <w:numPr>
                <w:ilvl w:val="0"/>
                <w:numId w:val="8"/>
              </w:numPr>
              <w:rPr/>
            </w:pPr>
            <w:r>
              <w:rPr/>
              <w:t>GFOM RATES:  The GFOM does not have a rate component.</w:t>
            </w:r>
          </w:p>
          <w:p>
            <w:pPr>
              <w:pStyle w:val="Level1Sub"/>
              <w:numPr>
                <w:ilvl w:val="0"/>
                <w:numId w:val="8"/>
              </w:numPr>
              <w:rPr/>
            </w:pPr>
            <w:r>
              <w:rPr/>
              <w:t>ACCOUNTING PROCEDURE:  PG&amp;E shall maintain the GFOM by making entries at the end of each month as follows:</w:t>
            </w:r>
          </w:p>
          <w:p>
            <w:pPr>
              <w:pStyle w:val="Level2"/>
              <w:rPr/>
            </w:pPr>
            <w:r>
              <w:rPr/>
              <w:t>a.</w:t>
              <w:tab/>
              <w:t>A debit entry equal to PG&amp;E’s recorded costs associated with operating and maintaining the divested plants and other costs incurred under the terms of the Operation and Maintenance Agreement for each plant.</w:t>
            </w:r>
          </w:p>
          <w:p>
            <w:pPr>
              <w:pStyle w:val="Level2"/>
              <w:rPr/>
            </w:pPr>
            <w:r>
              <w:rPr/>
              <w:t>b.</w:t>
              <w:tab/>
              <w:t>A debit entry equal to the fixed and continuing A&amp;G expense allocated to the divested plants and recorded in PG&amp;E‘s A&amp;G expense accounts (FERC Accounts 920 through 935).</w:t>
            </w:r>
          </w:p>
          <w:p>
            <w:pPr>
              <w:pStyle w:val="Level2"/>
              <w:numPr>
                <w:ilvl w:val="0"/>
                <w:numId w:val="6"/>
              </w:numPr>
              <w:rPr/>
            </w:pPr>
            <w:r>
              <w:rPr/>
              <w:t>A debit entry equal to:</w:t>
            </w:r>
          </w:p>
          <w:p>
            <w:pPr>
              <w:pStyle w:val="Level3"/>
              <w:rPr/>
            </w:pPr>
            <w:r>
              <w:rPr/>
              <w:t>1)</w:t>
              <w:tab/>
              <w:t>depreciation expense on the average of the beginning and the end-of-month balance of the fixed and continuing C&amp;G plant associated with the divested plants, at one-twelfth the annual depreciation rates approved by the CPUC for these plant accounts; plus</w:t>
            </w:r>
          </w:p>
          <w:p>
            <w:pPr>
              <w:pStyle w:val="Level3"/>
              <w:rPr/>
            </w:pPr>
            <w:r>
              <w:rPr/>
              <w:t>2)</w:t>
              <w:tab/>
              <w:t>the return on investment on the average of the beginning and the end-of-month balance of the fixed and continuing C&amp;G plant less the average of the beginning and the end-of-month balance of the related accumulated depreciation and accumulated net deferred taxes on income resulting from the normalization of federal tax depreciation associated with the divested plants at one-twelfth the annual rate of return on investment last adopted for PG&amp;E’s Electric Department by the CPUC; plus</w:t>
            </w:r>
          </w:p>
          <w:p>
            <w:pPr>
              <w:pStyle w:val="Level3"/>
              <w:rPr/>
            </w:pPr>
            <w:r>
              <w:rPr/>
              <w:t>3)</w:t>
              <w:tab/>
              <w:t>the federal and state taxes based on income associated with Item 4.c.2. above calculated at marginal tax rates currently in effect.  This will include all applicable statutory adjustments; plus</w:t>
            </w:r>
          </w:p>
          <w:p>
            <w:pPr>
              <w:pStyle w:val="Level3"/>
              <w:rPr/>
            </w:pPr>
            <w:r>
              <w:rPr/>
              <w:t>4)</w:t>
              <w:tab/>
              <w:t>the monthly property taxes on the fixed and continuing C&amp;G plant associated with the divested plants.</w:t>
            </w:r>
          </w:p>
          <w:p>
            <w:pPr>
              <w:pStyle w:val="Level2"/>
              <w:spacing w:before="0" w:after="200"/>
              <w:rPr/>
            </w:pPr>
            <w:r>
              <w:rPr/>
              <w:t>d.</w:t>
              <w:tab/>
              <w:t>A credit entry equal to payments received from the owners of divested plants in accordance with the terms of compensation and payment in the respective O&amp;M Agreement for each plant.</w:t>
            </w:r>
          </w:p>
        </w:tc>
        <w:tc>
          <w:tcPr>
            <w:tcW w:w="1008" w:type="dxa"/>
            <w:tcBorders/>
          </w:tcPr>
          <w:p>
            <w:pPr>
              <w:pStyle w:val="EditNotation"/>
              <w:snapToGrid w:val="false"/>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84">
                <wp:simplePos x="0" y="0"/>
                <wp:positionH relativeFrom="page">
                  <wp:posOffset>6400800</wp:posOffset>
                </wp:positionH>
                <wp:positionV relativeFrom="page">
                  <wp:posOffset>8869680</wp:posOffset>
                </wp:positionV>
                <wp:extent cx="914400" cy="228600"/>
                <wp:effectExtent l="0" t="0" r="0" b="0"/>
                <wp:wrapNone/>
                <wp:docPr id="74"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0"/>
          <w:footerReference w:type="default" r:id="rId5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PrelimTitle"/>
              <w:pageBreakBefore/>
              <w:spacing w:lineRule="exact" w:line="200" w:before="0" w:after="200"/>
              <w:ind w:hanging="432" w:start="432" w:end="0"/>
              <w:rPr/>
            </w:pPr>
            <w:r>
              <w:rPr/>
              <w:t>BG.</w:t>
              <w:tab/>
              <w:t>GENERATING FACILITY OPERATIONS AND MAINTENANCE ACCOUNT (GFOM) (Cont’d.)</w:t>
            </w:r>
          </w:p>
        </w:tc>
        <w:tc>
          <w:tcPr>
            <w:tcW w:w="1008" w:type="dxa"/>
            <w:tcBorders/>
          </w:tcPr>
          <w:p>
            <w:pPr>
              <w:pStyle w:val="EditNotation"/>
              <w:snapToGrid w:val="false"/>
              <w:rPr/>
            </w:pPr>
            <w:r>
              <w:rPr/>
            </w:r>
          </w:p>
        </w:tc>
      </w:tr>
      <w:tr>
        <w:trPr/>
        <w:tc>
          <w:tcPr>
            <w:tcW w:w="9000" w:type="dxa"/>
            <w:tcBorders/>
          </w:tcPr>
          <w:p>
            <w:pPr>
              <w:pStyle w:val="Level1"/>
              <w:rPr/>
            </w:pPr>
            <w:r>
              <w:rPr/>
              <w:t>4.</w:t>
              <w:tab/>
              <w:t>ACCOUNTING PROCEDURE:  (Cont’d.)</w:t>
            </w:r>
          </w:p>
          <w:p>
            <w:pPr>
              <w:pStyle w:val="Level2"/>
              <w:rPr/>
            </w:pPr>
            <w:r>
              <w:rPr/>
              <w:t>e.</w:t>
              <w:tab/>
              <w:t>An entry equal to the interest on the average of the balance in the account at the beginning of the month and the balance after entry from 4.a through 4.d, above, at a rate equal to one-twelfth of the interest rate on three-month Commercial Paper for the previous month, as reported in the Federal Reserve Statistical Release, G.13 or its successor.</w:t>
            </w:r>
          </w:p>
          <w:p>
            <w:pPr>
              <w:pStyle w:val="Level2"/>
              <w:rPr/>
            </w:pPr>
            <w:r>
              <w:rPr/>
              <w:t>f.</w:t>
              <w:tab/>
              <w:t>At the time of the conclusion of the last O&amp;M Agreement for divested plants, the final recorded balance will be treated as follows:</w:t>
            </w:r>
          </w:p>
          <w:p>
            <w:pPr>
              <w:pStyle w:val="Level3"/>
              <w:rPr/>
            </w:pPr>
            <w:r>
              <w:rPr/>
              <w:t>1)</w:t>
              <w:tab/>
              <w:t>If a credit balance, the balance will be transferred to the California Procurement Adjustment Balancing Account (CPABA) (electric Preliminary Statement Part XX).</w:t>
            </w:r>
          </w:p>
          <w:p>
            <w:pPr>
              <w:pStyle w:val="Level3"/>
              <w:rPr/>
            </w:pPr>
            <w:r>
              <w:rPr/>
              <w:t>2)</w:t>
              <w:tab/>
              <w:t>If a debit balance, the balance will be absorbed by PG&amp;E’s shareholders.</w:t>
            </w:r>
          </w:p>
          <w:p>
            <w:pPr>
              <w:pStyle w:val="Level1"/>
              <w:spacing w:before="0" w:after="200"/>
              <w:ind w:hanging="0" w:start="418" w:end="0"/>
              <w:rPr/>
            </w:pPr>
            <w:r>
              <w:rPr/>
              <w:t>PG&amp;E’s fixed A&amp;G entries in the GFOM shall be reviewed in PG&amp;E’s Annual Transition Cost Proceeding following the end of the O&amp;M Agreement.</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bl>
    <w:p>
      <w:pPr>
        <w:pStyle w:val="Normal"/>
        <w:spacing w:lineRule="auto" w:line="240"/>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2"/>
          <w:footerReference w:type="default" r:id="rId5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BW.</w:t>
              <w:tab/>
              <w:t>NUCLEAR DECOMMISSIONING ADJUSTMENT MECHANISM (NDAM)</w:t>
            </w:r>
          </w:p>
        </w:tc>
      </w:tr>
      <w:tr>
        <w:trPr/>
        <w:tc>
          <w:tcPr>
            <w:tcW w:w="9000" w:type="dxa"/>
            <w:tcBorders/>
          </w:tcPr>
          <w:p>
            <w:pPr>
              <w:pStyle w:val="Level1"/>
              <w:rPr/>
            </w:pPr>
            <w:r>
              <w:rPr/>
              <w:t>1.</w:t>
              <w:tab/>
              <w:t xml:space="preserve">PURPOSE:  The purpose of the NDAM is to record the Commission-authorized Diablo Canyon Nuclear Power Plant and Humboldt Power Plant Nuclear Unit 3 (Humboldt) nuclear decommissioning revenue requirements and Humboldt SAFSTOR operating and maintenance (O&amp;M) revenue requirements, and to provide full recovery of those costs. </w:t>
            </w:r>
          </w:p>
          <w:p>
            <w:pPr>
              <w:pStyle w:val="Level1"/>
              <w:rPr/>
            </w:pPr>
            <w:r>
              <w:rPr/>
              <w:t>2.</w:t>
              <w:tab/>
              <w:t>APPLICABILITY:  The NDAM balance shall apply to all customer bills for service under all rate schedules and contracts for electric service subject to the jurisdiction of the Commission, except for those customers that are exempt pursuant to the provisions in Schedules ESL, ETL, ES and ET, when the Minimum Average Rate Limiter is applied.</w:t>
            </w:r>
          </w:p>
          <w:p>
            <w:pPr>
              <w:pStyle w:val="Level1"/>
              <w:rPr/>
            </w:pPr>
            <w:r>
              <w:rPr/>
              <w:t>3.</w:t>
              <w:tab/>
              <w:t>EFFECTIVE DATE:  The NDAM becomes effective on the date the Commission approves the interim California Procurement Adjustment Balancing Account (CPABA) (electric Preliminary Statement Part XX).</w:t>
            </w:r>
          </w:p>
          <w:p>
            <w:pPr>
              <w:pStyle w:val="Level1"/>
              <w:rPr/>
            </w:pPr>
            <w:r>
              <w:rPr/>
              <w:t>4.</w:t>
              <w:tab/>
              <w:t>REVISION DATE:  The revision date applicable to the NDAM shall be determined in the annual Revenue Adjustment Proceeding or other proceeding authorized by the Commission.</w:t>
            </w:r>
          </w:p>
          <w:p>
            <w:pPr>
              <w:pStyle w:val="Level1"/>
              <w:rPr/>
            </w:pPr>
            <w:r>
              <w:rPr/>
              <w:t>5.</w:t>
              <w:tab/>
              <w:t>NDAM RATES:  The NDAM rates are included in the effective rates set forth in each rate schedule as a separate non-bypassable charge.</w:t>
            </w:r>
          </w:p>
          <w:p>
            <w:pPr>
              <w:pStyle w:val="Level1"/>
              <w:rPr>
                <w:b/>
              </w:rPr>
            </w:pPr>
            <w:r>
              <w:rPr/>
              <w:t>6.</w:t>
              <w:tab/>
              <w:t>NDAM BALANCING ACCOUNT:  Starting on the Effective Date, PG&amp;E shall maintain this account by making entries at the end of each month as follows:</w:t>
            </w:r>
          </w:p>
          <w:p>
            <w:pPr>
              <w:pStyle w:val="Level2"/>
              <w:rPr/>
            </w:pPr>
            <w:r>
              <w:rPr/>
              <w:t>a.</w:t>
              <w:tab/>
              <w:t>A debit entry equal to the annual Commission-authorized nuclear decommissioning and Humboldt SAFSTOR O&amp;M revenue requirements divided by twelve.</w:t>
            </w:r>
          </w:p>
          <w:p>
            <w:pPr>
              <w:pStyle w:val="Level2"/>
              <w:rPr/>
            </w:pPr>
            <w:r>
              <w:rPr/>
              <w:t>b.</w:t>
              <w:tab/>
              <w:t>A credit entry equal to the total recorded NDAM revenue.</w:t>
            </w:r>
          </w:p>
          <w:p>
            <w:pPr>
              <w:pStyle w:val="Level2"/>
              <w:spacing w:before="0" w:after="200"/>
              <w:ind w:hanging="432" w:start="1296" w:end="0"/>
              <w:rPr/>
            </w:pPr>
            <w:r>
              <w:rPr/>
              <w:t>c.</w:t>
              <w:tab/>
              <w:t xml:space="preserve">An entry equal to interest on the average balance in the account at the beginning of the month and the balance after the above entries, at a rate equal to one-twelfth of the interest rate on three-month Commercial Paper for the previous month, as reported in the Federal Reserve Statistical Release, G. 13 or its successor.  </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4"/>
          <w:footerReference w:type="default" r:id="rId5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BX.</w:t>
              <w:tab/>
              <w:t>PUBLIC PURPOSE PROGRAMS REVENUE ADJUSTMENT MECHANISM (PPPRAM)</w:t>
            </w:r>
          </w:p>
        </w:tc>
      </w:tr>
      <w:tr>
        <w:trPr/>
        <w:tc>
          <w:tcPr>
            <w:tcW w:w="9000" w:type="dxa"/>
            <w:tcBorders/>
          </w:tcPr>
          <w:p>
            <w:pPr>
              <w:pStyle w:val="Level1"/>
              <w:rPr/>
            </w:pPr>
            <w:r>
              <w:rPr/>
              <w:t>1.</w:t>
              <w:tab/>
              <w:t>PURPOSE:  The purpose of the PPPRAM is to record the Commission-authorized Public Purpose Programs (PPP) revenue requirements and to provide full recovery of those costs.  The PPPRAM revenue requirements are composed of funding for electric Energy Efficiency (EE) programs, Low-Income Energy Efficiency (LIEE) programs, California Alternate Rates for Energy (CARE) administration related costs, Research, Development and Demonstration (RD&amp;D) programs, and Renewables programs.</w:t>
            </w:r>
          </w:p>
          <w:p>
            <w:pPr>
              <w:pStyle w:val="Level1"/>
              <w:rPr/>
            </w:pPr>
            <w:r>
              <w:rPr/>
              <w:t>2.</w:t>
              <w:tab/>
              <w:t>APPLICABILITY:  The PPPRAM shall apply to all customer bills for service under all rate schedules and contracts for electric service subject to the jurisdiction of the Commission, except for those customers that are exempt pursuant to the provisions in Schedule E-DEPART.  This exemption is also applicable to Schedules ESL, ETL, ES and ET, when the Minimum Average Rate Limiter is applied.</w:t>
            </w:r>
          </w:p>
          <w:p>
            <w:pPr>
              <w:pStyle w:val="Level1"/>
              <w:rPr/>
            </w:pPr>
            <w:r>
              <w:rPr/>
              <w:t>3.</w:t>
              <w:tab/>
              <w:t>EFFECTIVE DATE:  The PPPRAM becomes effective on the date the Commission approves the interim California Procurement Adjustment Balancing Account (CPABA) (electric Preliminary Statement Part XX).</w:t>
            </w:r>
          </w:p>
          <w:p>
            <w:pPr>
              <w:pStyle w:val="Level1"/>
              <w:rPr/>
            </w:pPr>
            <w:r>
              <w:rPr/>
              <w:t>4.</w:t>
              <w:tab/>
              <w:t>REVISION DATE:  The revision date applicable to the PPPRAM shall be determined in the annual Revenue Adjustment Proceeding or other proceeding authorized by the Commission.</w:t>
            </w:r>
          </w:p>
          <w:p>
            <w:pPr>
              <w:pStyle w:val="Level1"/>
              <w:rPr/>
            </w:pPr>
            <w:r>
              <w:rPr/>
              <w:t>5.</w:t>
              <w:tab/>
              <w:t>PUBLIC PURPOSE PROGRAMS (PPP) RATES:  The PPP rates are included in the effective rates set forth in each rate schedule as a separate non-bypassable charge.</w:t>
            </w:r>
          </w:p>
          <w:p>
            <w:pPr>
              <w:pStyle w:val="Level1"/>
              <w:rPr>
                <w:b/>
              </w:rPr>
            </w:pPr>
            <w:r>
              <w:rPr/>
              <w:t>6.</w:t>
              <w:tab/>
              <w:t>PPPRAM BALANCING ACCOUNT:  Starting on the Effective Date, PG&amp;E shall maintain this account by making entries at the end of each month as follows:</w:t>
            </w:r>
          </w:p>
          <w:p>
            <w:pPr>
              <w:pStyle w:val="Level2"/>
              <w:rPr/>
            </w:pPr>
            <w:r>
              <w:rPr/>
              <w:t>a.</w:t>
              <w:tab/>
              <w:t>A debit entry equal to the annual Commission-authorized PPPRAM revenue requirements divided by twelve.</w:t>
            </w:r>
          </w:p>
          <w:p>
            <w:pPr>
              <w:pStyle w:val="Level2"/>
              <w:rPr/>
            </w:pPr>
            <w:r>
              <w:rPr/>
              <w:t>b.</w:t>
              <w:tab/>
              <w:t>A credit entry equal to the total recorded PPP revenue less the recorded California Alternate Rates for Energy Account revenue (defined in electric Preliminary Statement Part M).</w:t>
            </w:r>
          </w:p>
          <w:p>
            <w:pPr>
              <w:pStyle w:val="Level2"/>
              <w:spacing w:before="0" w:after="200"/>
              <w:ind w:hanging="432" w:start="1296" w:end="0"/>
              <w:rPr/>
            </w:pPr>
            <w:r>
              <w:rPr/>
              <w:t>c.</w:t>
              <w:tab/>
              <w:t xml:space="preserve">An entry equal to interest on the average balance in the account at the beginning of the month and the balance after the above entries, at a rate equal to one-twelfth of the interest rate on three-month Commercial Paper for the previous month, as reported in the Federal Reserve Statistical Release, G. 13 or its successor.  </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6"/>
          <w:footerReference w:type="default" r:id="rId5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CA.</w:t>
              <w:tab/>
              <w:t>DISTRIBUTION REVENUE ADJUSTMENT MECHANISM (DRAM)</w:t>
            </w:r>
          </w:p>
        </w:tc>
      </w:tr>
      <w:tr>
        <w:trPr/>
        <w:tc>
          <w:tcPr>
            <w:tcW w:w="9000" w:type="dxa"/>
            <w:tcBorders/>
          </w:tcPr>
          <w:p>
            <w:pPr>
              <w:pStyle w:val="Level1"/>
              <w:rPr/>
            </w:pPr>
            <w:r>
              <w:rPr/>
              <w:t>1.</w:t>
              <w:tab/>
              <w:t xml:space="preserve">PURPOSE:  The purpose of the DRAM is to record and recover the Commission-authorized distribution base revenue requirements and certain other distribution-related Commission-authorized costs.  The DRAM will ensure dollar-for-dollar recovery of these Commission-authorized distribution amounts. </w:t>
            </w:r>
          </w:p>
          <w:p>
            <w:pPr>
              <w:pStyle w:val="Level1"/>
              <w:rPr>
                <w:b/>
              </w:rPr>
            </w:pPr>
            <w:r>
              <w:rPr/>
              <w:t>2.</w:t>
              <w:tab/>
              <w:t>APPLICABILITY:  The DRAM shall apply to all customer bills for service under all rate schedules and contracts for electric service subject to the jurisdiction of the Commission, except for those customers that are exempt pursuant to the provisions in Schedule E-DEPART.  This exemption is also applicable to Schedules ESL, ETL, ES and ET, when the Minimum Average Rate Limiter is applied.</w:t>
            </w:r>
          </w:p>
          <w:p>
            <w:pPr>
              <w:pStyle w:val="Level1"/>
              <w:rPr/>
            </w:pPr>
            <w:r>
              <w:rPr/>
              <w:t>3.</w:t>
              <w:tab/>
              <w:t>EFFECTIVE DATE:  The DRAM becomes effective on the date the Commission approves the interim California Procurement Adjustment Balancing Account (CPABA) (electric Preliminary Statement Part XX).</w:t>
            </w:r>
          </w:p>
          <w:p>
            <w:pPr>
              <w:pStyle w:val="Level1"/>
              <w:rPr/>
            </w:pPr>
            <w:r>
              <w:rPr/>
              <w:t>4.</w:t>
              <w:tab/>
              <w:t>REVISION DATE:  The revision date applicable to the DRAM shall be determined in the annual Revenue Adjustment Proceeding or other proceeding authorized by the Commission.</w:t>
            </w:r>
          </w:p>
          <w:p>
            <w:pPr>
              <w:pStyle w:val="Level1"/>
              <w:rPr/>
            </w:pPr>
            <w:r>
              <w:rPr/>
              <w:t>5.</w:t>
              <w:tab/>
              <w:t xml:space="preserve">DISTRIBUTION RATES:  The distribution rates are included in the effective rates set forth in each rate schedule.  </w:t>
            </w:r>
          </w:p>
          <w:p>
            <w:pPr>
              <w:pStyle w:val="Level1"/>
              <w:rPr/>
            </w:pPr>
            <w:r>
              <w:rPr/>
              <w:t>6.</w:t>
              <w:tab/>
              <w:t>DRAM BALANCING ACCOUNT:  Starting on the Effective Date, PG&amp;E shall maintain this account by making entries at the end of each month as follows:</w:t>
            </w:r>
          </w:p>
          <w:p>
            <w:pPr>
              <w:pStyle w:val="Level2"/>
              <w:rPr/>
            </w:pPr>
            <w:r>
              <w:rPr/>
              <w:t>a.</w:t>
              <w:tab/>
              <w:t>A debit entry equal to the annual Commission-authorized General Rate Case (GRC) and other base-related distribution revenue requirements divided by twelve.</w:t>
            </w:r>
          </w:p>
          <w:p>
            <w:pPr>
              <w:pStyle w:val="Level2"/>
              <w:rPr/>
            </w:pPr>
            <w:r>
              <w:rPr/>
              <w:t>b.</w:t>
              <w:tab/>
              <w:t xml:space="preserve">A debit or credit entry equal to the total of the distribution-related account balances, including an allowance for franchise fees and uncollectibles (FF&amp;U) accounts expense at the rates authorized in PG&amp;E’s most recent GRC, transferred to the DRAM Balancing Account, as authorized in the annual RAP or other proceeding expressly authorized by the Commission. </w:t>
            </w:r>
          </w:p>
          <w:p>
            <w:pPr>
              <w:pStyle w:val="Level2"/>
              <w:rPr/>
            </w:pPr>
            <w:r>
              <w:rPr/>
              <w:t>c.</w:t>
              <w:tab/>
              <w:t>A debit entry equal to the amount recorded for Diablo Canyon-related ICIP exclusion items listed in Findings of Fact 38, 39, and 40 of Decision 97</w:t>
              <w:noBreakHyphen/>
              <w:t>05</w:t>
              <w:noBreakHyphen/>
              <w:t>088, plus an allowance for FF&amp;U accounts expense at the rates authorized in PG&amp;E’s most recent GRC.</w:t>
            </w:r>
          </w:p>
          <w:p>
            <w:pPr>
              <w:pStyle w:val="Level2"/>
              <w:rPr/>
            </w:pPr>
            <w:r>
              <w:rPr/>
              <w:t>d.</w:t>
              <w:tab/>
              <w:t>A debit entry equal to the costs associated with CEP and EET funded by PG&amp;E, up to the amount authorized for PG&amp;E by the Commission, plus an allowance for FF&amp;U accounts expense at the rates authorized in PG&amp;E’s most recent GRC.</w:t>
            </w:r>
          </w:p>
          <w:p>
            <w:pPr>
              <w:pStyle w:val="Level2"/>
              <w:spacing w:before="0" w:after="200"/>
              <w:ind w:hanging="432" w:start="1296" w:end="0"/>
              <w:rPr/>
            </w:pPr>
            <w:r>
              <w:rPr/>
              <w:t>e.</w:t>
              <w:tab/>
              <w:t xml:space="preserve">A credit entry equal to the total recorded distribution revenue less the recorded California Public Utilities Commission Reimbursement Fee revenue (at the rate defined in Part E of PG&amp;E’s electric Preliminary Statement) and the Streamlining Residual Account (SRA), Electric Vehicle Balancing Account (EVBA), Hazardous Substance Mechanism (HSM), and Customer Energy Efficiency (CEE) Incentive revenues (at the rates defined in electric Preliminary Statement Part I).  </w:t>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85">
                <wp:simplePos x="0" y="0"/>
                <wp:positionH relativeFrom="page">
                  <wp:posOffset>6400800</wp:posOffset>
                </wp:positionH>
                <wp:positionV relativeFrom="page">
                  <wp:posOffset>8869680</wp:posOffset>
                </wp:positionV>
                <wp:extent cx="914400" cy="228600"/>
                <wp:effectExtent l="0" t="0" r="0" b="0"/>
                <wp:wrapNone/>
                <wp:docPr id="89"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8"/>
          <w:footerReference w:type="default" r:id="rId5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CA.</w:t>
              <w:tab/>
              <w:t>DISTRIBUTION REVENUE ADJUSTMENT MECHANISM (DRAM) (Cont’d.)</w:t>
            </w:r>
          </w:p>
        </w:tc>
      </w:tr>
      <w:tr>
        <w:trPr/>
        <w:tc>
          <w:tcPr>
            <w:tcW w:w="9000" w:type="dxa"/>
            <w:tcBorders/>
          </w:tcPr>
          <w:p>
            <w:pPr>
              <w:pStyle w:val="Level1"/>
              <w:rPr/>
            </w:pPr>
            <w:r>
              <w:rPr/>
              <w:t>6.</w:t>
              <w:tab/>
              <w:t>DRAM BALANCING ACCOUNT (Cont’d.)</w:t>
            </w:r>
          </w:p>
          <w:p>
            <w:pPr>
              <w:pStyle w:val="Level2"/>
              <w:rPr/>
            </w:pPr>
            <w:r>
              <w:rPr/>
              <w:t>f.</w:t>
              <w:tab/>
              <w:t>A credit entry equal to the debit entries in the California Alternative Rates for Energy Account (CARE) that corresponds to the actual CARE revenue shortfall.  The corresponding debit entries are defined in electric Preliminary Statement Part M.</w:t>
            </w:r>
          </w:p>
          <w:p>
            <w:pPr>
              <w:pStyle w:val="Level2"/>
              <w:rPr>
                <w:b/>
              </w:rPr>
            </w:pPr>
            <w:r>
              <w:rPr/>
              <w:t>g.</w:t>
              <w:tab/>
              <w:t>A credit entry equal to the recorded amount of revenue cycle services credits given to customers for revenue cycle services provided by entities other than PG&amp;E.</w:t>
            </w:r>
          </w:p>
          <w:p>
            <w:pPr>
              <w:pStyle w:val="Level2"/>
              <w:rPr/>
            </w:pPr>
            <w:r>
              <w:rPr/>
              <w:t>h.</w:t>
              <w:tab/>
              <w:t xml:space="preserve">A credit entry equal to the amount of Shareholder Participation, as defined in Section 7 below. </w:t>
            </w:r>
          </w:p>
          <w:p>
            <w:pPr>
              <w:pStyle w:val="Level2"/>
              <w:rPr/>
            </w:pPr>
            <w:r>
              <w:rPr/>
              <w:t>i.</w:t>
              <w:tab/>
              <w:t>An entry equal to interest on the average balance in the account at the beginning of the month and the balance after the above entries, at a rate equal to one-twelfth of the interest rate on three</w:t>
              <w:noBreakHyphen/>
              <w:t xml:space="preserve">month Commercial Paper for the previous month, as reported in the Federal Reserve Statistical Release, G. 13. or its successor.  </w:t>
            </w:r>
          </w:p>
          <w:p>
            <w:pPr>
              <w:pStyle w:val="Level1"/>
              <w:rPr/>
            </w:pPr>
            <w:r>
              <w:rPr/>
              <w:t>7.</w:t>
              <w:tab/>
              <w:t>SHAREHOLDER PARTICIPATION:  PG&amp;E's shareholders bear some responsibility for economic risks and rewards associated with, but not limited to, Commission-approved economic discounts and credits to certain PG&amp;E customers.  This section ensures that ratepayers will not assume shareholders' obligations.</w:t>
            </w:r>
          </w:p>
          <w:p>
            <w:pPr>
              <w:pStyle w:val="Level1Sub"/>
              <w:rPr/>
            </w:pPr>
            <w:r>
              <w:rPr/>
              <w:t>Shareholder Participation will be calculated monthly as the sum of the following:</w:t>
            </w:r>
          </w:p>
          <w:p>
            <w:pPr>
              <w:pStyle w:val="Level2"/>
              <w:rPr/>
            </w:pPr>
            <w:r>
              <w:rPr/>
              <w:t>a.</w:t>
              <w:tab/>
              <w:t>The actual amount of the Economic Stimulus Rate discount in accordance with Decision 94</w:t>
              <w:noBreakHyphen/>
              <w:t>12</w:t>
              <w:noBreakHyphen/>
              <w:t xml:space="preserve">047.  The actual amount of the discount is equal to the product of the number of kilowatt-hours sold to eligible customers and $0.00432. </w:t>
            </w:r>
          </w:p>
          <w:p>
            <w:pPr>
              <w:pStyle w:val="Level2"/>
              <w:rPr/>
            </w:pPr>
            <w:r>
              <w:rPr/>
              <w:t>b.</w:t>
              <w:tab/>
              <w:t xml:space="preserve">The amount of the Shareholder Participation Mechanism for the USS-POSCO Inc. contract approved by the Commission in Decision 94-11-023. </w:t>
            </w:r>
          </w:p>
          <w:p>
            <w:pPr>
              <w:pStyle w:val="Level2"/>
              <w:rPr/>
            </w:pPr>
            <w:r>
              <w:rPr/>
              <w:t>c.</w:t>
              <w:tab/>
              <w:t xml:space="preserve">The amount of the Shareholder Participation Mechanism for the Business Attraction Agreements, Business Expansion and Retention Agreements, and Cogeneration Deferral Agreements approved by the Commission in Decision 95-10-033. </w:t>
            </w:r>
          </w:p>
          <w:p>
            <w:pPr>
              <w:pStyle w:val="Level2"/>
              <w:rPr/>
            </w:pPr>
            <w:r>
              <w:rPr/>
              <w:t>d.</w:t>
              <w:tab/>
              <w:t xml:space="preserve">The amount of the Shareholder Participation Mechanism for Schedules E-TD, E-TDI, and AG-8 approved by the Commission in Decision 97-09-047.  This amount is subject to future recovery in rates upon the Commission’s final resolution of the issue of discounting policies. </w:t>
            </w:r>
          </w:p>
          <w:p>
            <w:pPr>
              <w:pStyle w:val="Level2"/>
              <w:spacing w:before="0" w:after="200"/>
              <w:ind w:hanging="432" w:start="1296" w:end="0"/>
              <w:rPr/>
            </w:pPr>
            <w:r>
              <w:rPr/>
              <w:t>e.</w:t>
              <w:tab/>
              <w:t xml:space="preserve">The amount of the Shareholder Participation Mechanism for Schedule ED, in accordance with Resolution E-3654.  </w:t>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43964</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43975</w:t>
      <w:tab/>
      <w:tab/>
    </w:r>
    <w:r>
      <w:rPr>
        <w:i/>
      </w:rPr>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43976</w:t>
      <w:tab/>
      <w:tab/>
    </w:r>
    <w:r>
      <w:rPr>
        <w:i/>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 and</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43977</w:t>
      <w:tab/>
      <w:tab/>
    </w:r>
    <w:r>
      <w:rPr>
        <w:i/>
      </w:rPr>
      <w:t>Regulatory Relations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tab/>
      <w:tab/>
    </w:r>
    <w:r>
      <w:rPr>
        <w:i/>
      </w:rPr>
      <w:t>Vice President and</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43978</w:t>
      <w:tab/>
      <w:tab/>
    </w:r>
    <w:r>
      <w:rPr>
        <w:i/>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 and</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43979</w:t>
      <w:tab/>
      <w:tab/>
    </w:r>
    <w:r>
      <w:rPr>
        <w:i/>
      </w:rPr>
      <w:t>Regulatory Hapner</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 and</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43980</w:t>
      <w:tab/>
      <w:tab/>
    </w:r>
    <w:r>
      <w:rPr>
        <w:i/>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43971</w:t>
      <w:tab/>
      <w:tab/>
    </w:r>
    <w:r>
      <w:rPr>
        <w:i/>
      </w:rPr>
      <w:t>Regulatory Relations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43972</w:t>
      <w:tab/>
      <w:tab/>
    </w:r>
    <w:r>
      <w:rPr>
        <w:i/>
      </w:rPr>
      <w:t>Regulatory Relations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43967</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43965</w:t>
      <w:tab/>
      <w:tab/>
    </w:r>
    <w:r>
      <w:rPr>
        <w:i/>
      </w:rPr>
      <w:t>Regulatory Relations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43970</w:t>
      <w:tab/>
      <w:tab/>
    </w:r>
    <w:r>
      <w:rPr>
        <w:i/>
      </w:rPr>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43983</w:t>
      <w:tab/>
      <w:tab/>
    </w:r>
    <w:r>
      <w:rPr>
        <w:i/>
      </w:rPr>
      <w:t>Regulatory Relations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43973</w:t>
      <w:tab/>
      <w:tab/>
    </w:r>
    <w:r>
      <w:rPr>
        <w:i/>
      </w:rPr>
      <w:t>Regulatory Relations</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43981</w:t>
      <w:tab/>
      <w:tab/>
    </w:r>
    <w:r>
      <w:rPr>
        <w:i/>
      </w:rPr>
      <w:t>Regulatory Relations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43982</w:t>
      <w:tab/>
      <w:tab/>
    </w:r>
    <w:r>
      <w:rPr>
        <w:i/>
      </w:rPr>
      <w:t>Regulatory Relations</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43974</w:t>
      <w:tab/>
      <w:tab/>
    </w:r>
    <w:r>
      <w:rPr>
        <w:i/>
      </w:rPr>
      <w:t>Regulatory Relations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43966</w:t>
      <w:tab/>
      <w:tab/>
    </w:r>
    <w:r>
      <w:rPr>
        <w:i/>
      </w:rPr>
      <w:t>Regulatory Relations</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43968</w:t>
      <w:tab/>
      <w:tab/>
    </w:r>
    <w:r>
      <w:rPr>
        <w:i/>
      </w:rPr>
      <w:t>Regulatory Relations</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43969</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43958</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43959</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43960</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43961</w:t>
      <w:tab/>
      <w:tab/>
    </w:r>
    <w:r>
      <w:rPr>
        <w:i/>
      </w:rPr>
      <w:t>Regulatory Relations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43962</w:t>
      <w:tab/>
      <w:tab/>
    </w:r>
    <w:r>
      <w:rPr>
        <w:i/>
      </w:rPr>
      <w:t>Regulatory Relations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43963</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684530" cy="515620"/>
              <wp:effectExtent l="0" t="0" r="0" b="0"/>
              <wp:wrapSquare wrapText="bothSides"/>
              <wp:docPr id="2" name="Frame1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5">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15719-E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3">
              <wp:simplePos x="0" y="0"/>
              <wp:positionH relativeFrom="page">
                <wp:posOffset>1005840</wp:posOffset>
              </wp:positionH>
              <wp:positionV relativeFrom="page">
                <wp:posOffset>1097280</wp:posOffset>
              </wp:positionV>
              <wp:extent cx="6400800" cy="8001000"/>
              <wp:effectExtent l="5080" t="5080" r="5080" b="5080"/>
              <wp:wrapNone/>
              <wp:docPr id="3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r>
    <w:r>
      <w:rPr/>
      <w:br/>
      <w:t>(Continued)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6"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Original</w:t>
      <w:tab/>
    </w:r>
    <w:r>
      <w:rPr>
        <w:i/>
      </w:rPr>
      <w:t>Cal. P.U.C. Sheet No.</w:t>
    </w:r>
    <w:r>
      <w:rPr/>
      <w:tab/>
    </w:r>
    <w:r>
      <w:rPr>
        <w:color w:val="000000"/>
      </w:rPr>
      <w:t>15720-E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5">
              <wp:simplePos x="0" y="0"/>
              <wp:positionH relativeFrom="page">
                <wp:posOffset>1005840</wp:posOffset>
              </wp:positionH>
              <wp:positionV relativeFrom="page">
                <wp:posOffset>1097280</wp:posOffset>
              </wp:positionV>
              <wp:extent cx="6400800" cy="8001000"/>
              <wp:effectExtent l="5080" t="5080" r="5080" b="5080"/>
              <wp:wrapNone/>
              <wp:docPr id="3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r>
    <w:r>
      <w:rPr/>
      <w:br/>
      <w:t>(Continued)</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9"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t>Cancelling</w:t>
      <w:tab/>
      <w:t>Revised</w:t>
      <w:tab/>
    </w:r>
    <w:r>
      <w:rPr>
        <w:i/>
      </w:rPr>
      <w:t>Cal. P.U.C. Sheet No.</w:t>
    </w:r>
    <w:r>
      <w:rPr/>
      <w:tab/>
      <w:t>13540-E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6">
              <wp:simplePos x="0" y="0"/>
              <wp:positionH relativeFrom="page">
                <wp:posOffset>1005840</wp:posOffset>
              </wp:positionH>
              <wp:positionV relativeFrom="page">
                <wp:posOffset>1097280</wp:posOffset>
              </wp:positionV>
              <wp:extent cx="6400800" cy="8001000"/>
              <wp:effectExtent l="5080" t="5080" r="5080" b="5080"/>
              <wp:wrapNone/>
              <wp:docPr id="4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4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t>Cancelling</w:t>
      <w:tab/>
      <w:t>Original</w:t>
      <w:tab/>
    </w:r>
    <w:r>
      <w:rPr>
        <w:i/>
      </w:rPr>
      <w:t>Cal. P.U.C. Sheet No.</w:t>
    </w:r>
    <w:r>
      <w:rPr/>
      <w:tab/>
      <w:t>13419-E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7">
              <wp:simplePos x="0" y="0"/>
              <wp:positionH relativeFrom="page">
                <wp:posOffset>1005840</wp:posOffset>
              </wp:positionH>
              <wp:positionV relativeFrom="page">
                <wp:posOffset>1097280</wp:posOffset>
              </wp:positionV>
              <wp:extent cx="6400800" cy="8001000"/>
              <wp:effectExtent l="5080" t="5080" r="5080" b="5080"/>
              <wp:wrapNone/>
              <wp:docPr id="4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4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t>Cancelling</w:t>
      <w:tab/>
      <w:t>Original</w:t>
      <w:tab/>
    </w:r>
    <w:r>
      <w:rPr>
        <w:i/>
      </w:rPr>
      <w:t>Cal. P.U.C. Sheet No.</w:t>
    </w:r>
    <w:r>
      <w:rPr/>
      <w:tab/>
      <w:t>13420-E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8">
              <wp:simplePos x="0" y="0"/>
              <wp:positionH relativeFrom="page">
                <wp:posOffset>1005840</wp:posOffset>
              </wp:positionH>
              <wp:positionV relativeFrom="page">
                <wp:posOffset>1097280</wp:posOffset>
              </wp:positionV>
              <wp:extent cx="6400800" cy="8001000"/>
              <wp:effectExtent l="5080" t="5080" r="5080" b="5080"/>
              <wp:wrapNone/>
              <wp:docPr id="4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r>
    <w:r>
      <w:rPr/>
      <w:t xml:space="preserve">  (Continued)</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48"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t>Cancelling</w:t>
      <w:tab/>
      <w:t>Original</w:t>
      <w:tab/>
    </w:r>
    <w:r>
      <w:rPr>
        <w:i/>
      </w:rPr>
      <w:t>Cal. P.U.C. Sheet No.</w:t>
    </w:r>
    <w:r>
      <w:rPr/>
      <w:tab/>
      <w:t>13421-E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9">
              <wp:simplePos x="0" y="0"/>
              <wp:positionH relativeFrom="page">
                <wp:posOffset>1005840</wp:posOffset>
              </wp:positionH>
              <wp:positionV relativeFrom="page">
                <wp:posOffset>1097280</wp:posOffset>
              </wp:positionV>
              <wp:extent cx="6400800" cy="8001000"/>
              <wp:effectExtent l="5080" t="5080" r="5080" b="5080"/>
              <wp:wrapNone/>
              <wp:docPr id="4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15099-E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0">
              <wp:simplePos x="0" y="0"/>
              <wp:positionH relativeFrom="page">
                <wp:posOffset>1005840</wp:posOffset>
              </wp:positionH>
              <wp:positionV relativeFrom="page">
                <wp:posOffset>1097280</wp:posOffset>
              </wp:positionV>
              <wp:extent cx="6400800" cy="8001000"/>
              <wp:effectExtent l="5080" t="5080" r="5080" b="5080"/>
              <wp:wrapNone/>
              <wp:docPr id="5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3"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16251-E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1">
              <wp:simplePos x="0" y="0"/>
              <wp:positionH relativeFrom="page">
                <wp:posOffset>1005840</wp:posOffset>
              </wp:positionH>
              <wp:positionV relativeFrom="page">
                <wp:posOffset>1097280</wp:posOffset>
              </wp:positionV>
              <wp:extent cx="6400800" cy="8001000"/>
              <wp:effectExtent l="5080" t="5080" r="5080" b="5080"/>
              <wp:wrapNone/>
              <wp:docPr id="5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 xml:space="preserve"> </w:t>
    </w:r>
  </w:p>
  <w:p>
    <w:pPr>
      <w:pStyle w:val="Header"/>
      <w:tabs>
        <w:tab w:val="clear" w:pos="4320"/>
        <w:tab w:val="clear" w:pos="8640"/>
      </w:tabs>
      <w:spacing w:before="360" w:after="180"/>
      <w:jc w:val="center"/>
      <w:rPr/>
    </w:pPr>
    <w:r>
      <w:rPr>
        <w:u w:val="single"/>
      </w:rPr>
      <w:t>PRELIMINARY STATEMENT</w:t>
      <w:br/>
    </w:r>
    <w:r>
      <w:rPr/>
      <w:t>(Continued)</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7"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15917-E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2">
              <wp:simplePos x="0" y="0"/>
              <wp:positionH relativeFrom="page">
                <wp:posOffset>1005840</wp:posOffset>
              </wp:positionH>
              <wp:positionV relativeFrom="page">
                <wp:posOffset>1097280</wp:posOffset>
              </wp:positionV>
              <wp:extent cx="6400800" cy="8001000"/>
              <wp:effectExtent l="5080" t="5080" r="5080" b="5080"/>
              <wp:wrapNone/>
              <wp:docPr id="5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684530" cy="515620"/>
              <wp:effectExtent l="0" t="0" r="0" b="0"/>
              <wp:wrapSquare wrapText="bothSides"/>
              <wp:docPr id="6" name="Frame1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6">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7">
              <wp:simplePos x="0" y="0"/>
              <wp:positionH relativeFrom="column">
                <wp:align>left</wp:align>
              </wp:positionH>
              <wp:positionV relativeFrom="paragraph">
                <wp:posOffset>635</wp:posOffset>
              </wp:positionV>
              <wp:extent cx="684530" cy="515620"/>
              <wp:effectExtent l="0" t="0" r="0" b="0"/>
              <wp:wrapSquare wrapText="bothSides"/>
              <wp:docPr id="57" name="Frame1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Original</w:t>
      <w:tab/>
    </w:r>
    <w:r>
      <w:rPr>
        <w:i/>
      </w:rPr>
      <w:t>Cal. P.U.C. Sheet No.</w:t>
    </w:r>
    <w:r>
      <w:rPr/>
      <w:tab/>
      <w:t>17340-E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3">
              <wp:simplePos x="0" y="0"/>
              <wp:positionH relativeFrom="page">
                <wp:posOffset>1005840</wp:posOffset>
              </wp:positionH>
              <wp:positionV relativeFrom="page">
                <wp:posOffset>1097280</wp:posOffset>
              </wp:positionV>
              <wp:extent cx="6400800" cy="8001000"/>
              <wp:effectExtent l="5080" t="5080" r="5080" b="5080"/>
              <wp:wrapNone/>
              <wp:docPr id="6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9">
              <wp:simplePos x="0" y="0"/>
              <wp:positionH relativeFrom="column">
                <wp:align>left</wp:align>
              </wp:positionH>
              <wp:positionV relativeFrom="paragraph">
                <wp:posOffset>635</wp:posOffset>
              </wp:positionV>
              <wp:extent cx="684530" cy="515620"/>
              <wp:effectExtent l="0" t="0" r="0" b="0"/>
              <wp:wrapSquare wrapText="bothSides"/>
              <wp:docPr id="61" name="Frame2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2"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3"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4">
              <wp:simplePos x="0" y="0"/>
              <wp:positionH relativeFrom="page">
                <wp:posOffset>1005840</wp:posOffset>
              </wp:positionH>
              <wp:positionV relativeFrom="page">
                <wp:posOffset>1097280</wp:posOffset>
              </wp:positionV>
              <wp:extent cx="6400800" cy="8001000"/>
              <wp:effectExtent l="5080" t="5080" r="5080" b="5080"/>
              <wp:wrapNone/>
              <wp:docPr id="6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1">
              <wp:simplePos x="0" y="0"/>
              <wp:positionH relativeFrom="column">
                <wp:align>left</wp:align>
              </wp:positionH>
              <wp:positionV relativeFrom="paragraph">
                <wp:posOffset>635</wp:posOffset>
              </wp:positionV>
              <wp:extent cx="684530" cy="515620"/>
              <wp:effectExtent l="0" t="0" r="0" b="0"/>
              <wp:wrapSquare wrapText="bothSides"/>
              <wp:docPr id="66" name="Frame2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7"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8"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15101-E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5">
              <wp:simplePos x="0" y="0"/>
              <wp:positionH relativeFrom="page">
                <wp:posOffset>1005840</wp:posOffset>
              </wp:positionH>
              <wp:positionV relativeFrom="page">
                <wp:posOffset>1097280</wp:posOffset>
              </wp:positionV>
              <wp:extent cx="6400800" cy="8001000"/>
              <wp:effectExtent l="5080" t="5080" r="5080" b="5080"/>
              <wp:wrapNone/>
              <wp:docPr id="6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u w:val="single"/>
      </w:rPr>
    </w:pPr>
    <w:r>
      <w:rPr>
        <w:u w:val="single"/>
      </w:rPr>
      <w:t>PRELIMINARY STATEMENT</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3">
              <wp:simplePos x="0" y="0"/>
              <wp:positionH relativeFrom="column">
                <wp:align>left</wp:align>
              </wp:positionH>
              <wp:positionV relativeFrom="paragraph">
                <wp:posOffset>635</wp:posOffset>
              </wp:positionV>
              <wp:extent cx="684530" cy="515620"/>
              <wp:effectExtent l="0" t="0" r="0" b="0"/>
              <wp:wrapSquare wrapText="bothSides"/>
              <wp:docPr id="70" name="Frame2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1"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2"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16225-E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6">
              <wp:simplePos x="0" y="0"/>
              <wp:positionH relativeFrom="page">
                <wp:posOffset>1005840</wp:posOffset>
              </wp:positionH>
              <wp:positionV relativeFrom="page">
                <wp:posOffset>1097280</wp:posOffset>
              </wp:positionV>
              <wp:extent cx="6400800" cy="8001000"/>
              <wp:effectExtent l="5080" t="5080" r="5080" b="5080"/>
              <wp:wrapNone/>
              <wp:docPr id="7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75"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2"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16226-E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7">
              <wp:simplePos x="0" y="0"/>
              <wp:positionH relativeFrom="page">
                <wp:posOffset>1005840</wp:posOffset>
              </wp:positionH>
              <wp:positionV relativeFrom="page">
                <wp:posOffset>1097280</wp:posOffset>
              </wp:positionV>
              <wp:extent cx="6400800" cy="8001000"/>
              <wp:effectExtent l="5080" t="5080" r="5080" b="5080"/>
              <wp:wrapNone/>
              <wp:docPr id="7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r>
    <w:r>
      <w:rPr/>
      <w:br/>
      <w:t>(Continued)</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6">
              <wp:simplePos x="0" y="0"/>
              <wp:positionH relativeFrom="column">
                <wp:align>left</wp:align>
              </wp:positionH>
              <wp:positionV relativeFrom="paragraph">
                <wp:posOffset>635</wp:posOffset>
              </wp:positionV>
              <wp:extent cx="684530" cy="515620"/>
              <wp:effectExtent l="0" t="0" r="0" b="0"/>
              <wp:wrapSquare wrapText="bothSides"/>
              <wp:docPr id="77" name="Frame2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8"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9"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8">
              <wp:simplePos x="0" y="0"/>
              <wp:positionH relativeFrom="page">
                <wp:posOffset>1005840</wp:posOffset>
              </wp:positionH>
              <wp:positionV relativeFrom="page">
                <wp:posOffset>1097280</wp:posOffset>
              </wp:positionV>
              <wp:extent cx="6400800" cy="8001000"/>
              <wp:effectExtent l="5080" t="5080" r="5080" b="5080"/>
              <wp:wrapNone/>
              <wp:docPr id="8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8">
              <wp:simplePos x="0" y="0"/>
              <wp:positionH relativeFrom="column">
                <wp:align>left</wp:align>
              </wp:positionH>
              <wp:positionV relativeFrom="paragraph">
                <wp:posOffset>635</wp:posOffset>
              </wp:positionV>
              <wp:extent cx="684530" cy="515620"/>
              <wp:effectExtent l="0" t="0" r="0" b="0"/>
              <wp:wrapSquare wrapText="bothSides"/>
              <wp:docPr id="81" name="Frame2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2"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3"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9">
              <wp:simplePos x="0" y="0"/>
              <wp:positionH relativeFrom="page">
                <wp:posOffset>1005840</wp:posOffset>
              </wp:positionH>
              <wp:positionV relativeFrom="page">
                <wp:posOffset>1097280</wp:posOffset>
              </wp:positionV>
              <wp:extent cx="6400800" cy="8001000"/>
              <wp:effectExtent l="5080" t="5080" r="5080" b="5080"/>
              <wp:wrapNone/>
              <wp:docPr id="8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0">
              <wp:simplePos x="0" y="0"/>
              <wp:positionH relativeFrom="column">
                <wp:align>left</wp:align>
              </wp:positionH>
              <wp:positionV relativeFrom="paragraph">
                <wp:posOffset>635</wp:posOffset>
              </wp:positionV>
              <wp:extent cx="684530" cy="515620"/>
              <wp:effectExtent l="0" t="0" r="0" b="0"/>
              <wp:wrapSquare wrapText="bothSides"/>
              <wp:docPr id="85" name="Frame2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6"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7"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0">
              <wp:simplePos x="0" y="0"/>
              <wp:positionH relativeFrom="page">
                <wp:posOffset>1005840</wp:posOffset>
              </wp:positionH>
              <wp:positionV relativeFrom="page">
                <wp:posOffset>1097280</wp:posOffset>
              </wp:positionV>
              <wp:extent cx="6400800" cy="8001000"/>
              <wp:effectExtent l="5080" t="5080" r="5080" b="5080"/>
              <wp:wrapNone/>
              <wp:docPr id="8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2">
              <wp:simplePos x="0" y="0"/>
              <wp:positionH relativeFrom="column">
                <wp:align>left</wp:align>
              </wp:positionH>
              <wp:positionV relativeFrom="paragraph">
                <wp:posOffset>635</wp:posOffset>
              </wp:positionV>
              <wp:extent cx="684530" cy="515620"/>
              <wp:effectExtent l="0" t="0" r="0" b="0"/>
              <wp:wrapSquare wrapText="bothSides"/>
              <wp:docPr id="90" name="Frame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1"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2"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1">
              <wp:simplePos x="0" y="0"/>
              <wp:positionH relativeFrom="page">
                <wp:posOffset>1005840</wp:posOffset>
              </wp:positionH>
              <wp:positionV relativeFrom="page">
                <wp:posOffset>1097280</wp:posOffset>
              </wp:positionV>
              <wp:extent cx="6400800" cy="8001000"/>
              <wp:effectExtent l="5080" t="5080" r="5080" b="5080"/>
              <wp:wrapNone/>
              <wp:docPr id="9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16515-E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7">
              <wp:simplePos x="0" y="0"/>
              <wp:positionH relativeFrom="page">
                <wp:posOffset>1005840</wp:posOffset>
              </wp:positionH>
              <wp:positionV relativeFrom="page">
                <wp:posOffset>1097280</wp:posOffset>
              </wp:positionV>
              <wp:extent cx="6400800" cy="8001000"/>
              <wp:effectExtent l="5080" t="5080" r="5080" b="5080"/>
              <wp:wrapNone/>
              <wp:docPr id="1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u w:val="single"/>
      </w:rPr>
    </w:pPr>
    <w:r>
      <w:rPr>
        <w:u w:val="single"/>
      </w:rPr>
      <w:t>PRELIMINARY STATEMENT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16516-E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8">
              <wp:simplePos x="0" y="0"/>
              <wp:positionH relativeFrom="page">
                <wp:posOffset>1005840</wp:posOffset>
              </wp:positionH>
              <wp:positionV relativeFrom="page">
                <wp:posOffset>1097280</wp:posOffset>
              </wp:positionV>
              <wp:extent cx="6400800" cy="8001000"/>
              <wp:effectExtent l="5080" t="5080" r="5080" b="5080"/>
              <wp:wrapNone/>
              <wp:docPr id="1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16517-E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9">
              <wp:simplePos x="0" y="0"/>
              <wp:positionH relativeFrom="page">
                <wp:posOffset>1005840</wp:posOffset>
              </wp:positionH>
              <wp:positionV relativeFrom="page">
                <wp:posOffset>1097280</wp:posOffset>
              </wp:positionV>
              <wp:extent cx="6400800" cy="8001000"/>
              <wp:effectExtent l="5080" t="5080" r="5080" b="5080"/>
              <wp:wrapNone/>
              <wp:docPr id="1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1">
              <wp:simplePos x="0" y="0"/>
              <wp:positionH relativeFrom="column">
                <wp:align>left</wp:align>
              </wp:positionH>
              <wp:positionV relativeFrom="paragraph">
                <wp:posOffset>635</wp:posOffset>
              </wp:positionV>
              <wp:extent cx="684530" cy="515620"/>
              <wp:effectExtent l="0" t="0" r="0" b="0"/>
              <wp:wrapSquare wrapText="bothSides"/>
              <wp:docPr id="18" name="Frame1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17860-E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0">
              <wp:simplePos x="0" y="0"/>
              <wp:positionH relativeFrom="page">
                <wp:posOffset>1005840</wp:posOffset>
              </wp:positionH>
              <wp:positionV relativeFrom="page">
                <wp:posOffset>1097280</wp:posOffset>
              </wp:positionV>
              <wp:extent cx="6400800" cy="8001000"/>
              <wp:effectExtent l="5080" t="5080" r="5080" b="5080"/>
              <wp:wrapNone/>
              <wp:docPr id="2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675005" cy="515620"/>
              <wp:effectExtent l="0" t="0" r="0" b="0"/>
              <wp:wrapSquare wrapText="bothSides"/>
              <wp:docPr id="23" name="Frame17"/>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2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2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 descr="" title=""/>
                                  <pic:cNvPicPr>
                                    <a:picLocks noChangeAspect="1" noChangeArrowheads="1"/>
                                  </pic:cNvPicPr>
                                </pic:nvPicPr>
                                <pic:blipFill>
                                  <a:blip r:embed="rId2"/>
                                  <a:srcRect l="-10" t="-9" r="-10" b="-9"/>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17861-E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1">
              <wp:simplePos x="0" y="0"/>
              <wp:positionH relativeFrom="page">
                <wp:posOffset>1005840</wp:posOffset>
              </wp:positionH>
              <wp:positionV relativeFrom="page">
                <wp:posOffset>1097280</wp:posOffset>
              </wp:positionV>
              <wp:extent cx="6400800" cy="8001000"/>
              <wp:effectExtent l="5080" t="5080" r="5715" b="5715"/>
              <wp:wrapNone/>
              <wp:docPr id="2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p>
    <w:pPr>
      <w:pStyle w:val="Header"/>
      <w:tabs>
        <w:tab w:val="clear" w:pos="4320"/>
        <w:tab w:val="clear" w:pos="8640"/>
      </w:tabs>
      <w:spacing w:before="360" w:after="0"/>
      <w:jc w:val="center"/>
      <w:rPr/>
    </w:pPr>
    <w:r>
      <w:rPr>
        <w:u w:val="single"/>
      </w:rPr>
      <w:t>PRELIMINARY STATEMENT</w:t>
      <w:br/>
    </w:r>
    <w:r>
      <w:rPr/>
      <w:t>(Continued)</w:t>
      <w:b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684530" cy="515620"/>
              <wp:effectExtent l="0" t="0" r="0" b="0"/>
              <wp:wrapSquare wrapText="bothSides"/>
              <wp:docPr id="29" name="Frame1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17020-E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2">
              <wp:simplePos x="0" y="0"/>
              <wp:positionH relativeFrom="page">
                <wp:posOffset>1005840</wp:posOffset>
              </wp:positionH>
              <wp:positionV relativeFrom="page">
                <wp:posOffset>1097280</wp:posOffset>
              </wp:positionV>
              <wp:extent cx="6400800" cy="8001000"/>
              <wp:effectExtent l="5080" t="5080" r="5080" b="5080"/>
              <wp:wrapNone/>
              <wp:docPr id="3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abstractNum w:abstractNumId="2">
    <w:lvl w:ilvl="0">
      <w:start w:val="7"/>
      <w:numFmt w:val="lowerLetter"/>
      <w:lvlText w:val="%1."/>
      <w:lvlJc w:val="start"/>
      <w:pPr>
        <w:tabs>
          <w:tab w:val="num" w:pos="1224"/>
        </w:tabs>
        <w:ind w:start="1224" w:hanging="360"/>
      </w:pPr>
      <w:rPr/>
    </w:lvl>
  </w:abstractNum>
  <w:abstractNum w:abstractNumId="3">
    <w:lvl w:ilvl="0">
      <w:start w:val="1"/>
      <w:numFmt w:val="lowerLetter"/>
      <w:lvlText w:val="%1."/>
      <w:lvlJc w:val="start"/>
      <w:pPr>
        <w:tabs>
          <w:tab w:val="num" w:pos="1284"/>
        </w:tabs>
        <w:ind w:start="1284" w:hanging="420"/>
      </w:pPr>
      <w:rPr/>
    </w:lvl>
  </w:abstractNum>
  <w:abstractNum w:abstractNumId="4">
    <w:lvl w:ilvl="0">
      <w:start w:val="2"/>
      <w:numFmt w:val="lowerLetter"/>
      <w:lvlText w:val="%1."/>
      <w:lvlJc w:val="start"/>
      <w:pPr>
        <w:tabs>
          <w:tab w:val="num" w:pos="1224"/>
        </w:tabs>
        <w:ind w:start="1224" w:hanging="360"/>
      </w:pPr>
      <w:rPr/>
    </w:lvl>
  </w:abstractNum>
  <w:abstractNum w:abstractNumId="5">
    <w:lvl w:ilvl="0">
      <w:start w:val="1"/>
      <w:numFmt w:val="lowerLetter"/>
      <w:lvlText w:val="%1."/>
      <w:lvlJc w:val="start"/>
      <w:pPr>
        <w:tabs>
          <w:tab w:val="num" w:pos="1224"/>
        </w:tabs>
        <w:ind w:start="1224" w:hanging="360"/>
      </w:pPr>
      <w:rPr/>
    </w:lvl>
  </w:abstractNum>
  <w:abstractNum w:abstractNumId="6">
    <w:lvl w:ilvl="0">
      <w:start w:val="3"/>
      <w:numFmt w:val="lowerLetter"/>
      <w:lvlText w:val="%1."/>
      <w:lvlJc w:val="start"/>
      <w:pPr>
        <w:tabs>
          <w:tab w:val="num" w:pos="1284"/>
        </w:tabs>
        <w:ind w:start="1284" w:hanging="420"/>
      </w:pPr>
      <w:rPr/>
    </w:lvl>
  </w:abstractNum>
  <w:abstractNum w:abstractNumId="7">
    <w:lvl w:ilvl="0">
      <w:start w:val="5"/>
      <w:numFmt w:val="decimal"/>
      <w:lvlText w:val="%1."/>
      <w:lvlJc w:val="start"/>
      <w:pPr>
        <w:tabs>
          <w:tab w:val="num" w:pos="867"/>
        </w:tabs>
        <w:ind w:start="867" w:hanging="435"/>
      </w:pPr>
      <w:rPr/>
    </w:lvl>
  </w:abstractNum>
  <w:abstractNum w:abstractNumId="8">
    <w:lvl w:ilvl="0">
      <w:start w:val="1"/>
      <w:numFmt w:val="decimal"/>
      <w:lvlText w:val="%1."/>
      <w:lvlJc w:val="start"/>
      <w:pPr>
        <w:tabs>
          <w:tab w:val="num" w:pos="867"/>
        </w:tabs>
        <w:ind w:start="867" w:hanging="43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Electric Tariffs - Preliminary Statements"/>
    <w:docVar w:name="DOCNUM" w:val="222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ntinued">
    <w:name w:val="(Continued)"/>
    <w:basedOn w:val="Normal"/>
    <w:qFormat/>
    <w:pPr>
      <w:jc w:val="center"/>
    </w:pPr>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2Sub">
    <w:name w:val="Level 2 Sub"/>
    <w:basedOn w:val="PrelimBody"/>
    <w:qFormat/>
    <w:pPr>
      <w:ind w:hanging="0" w:start="1296" w:end="0"/>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Level2-TextList">
    <w:name w:val="Level 2 - Text List"/>
    <w:basedOn w:val="Normal"/>
    <w:qFormat/>
    <w:pPr>
      <w:suppressAutoHyphens w:val="false"/>
      <w:spacing w:lineRule="exact" w:line="200" w:before="0" w:after="200"/>
      <w:ind w:hanging="864" w:start="1872" w:end="0"/>
    </w:pPr>
    <w:rPr/>
  </w:style>
  <w:style w:type="paragraph" w:styleId="EditNotation">
    <w:name w:val="Edit Notation"/>
    <w:basedOn w:val="PrelimBody"/>
    <w:qFormat/>
    <w:pPr>
      <w:spacing w:before="0" w:after="0"/>
      <w:ind w:hanging="0" w:start="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numbering" Target="numbering.xml"/><Relationship Id="rId61" Type="http://schemas.openxmlformats.org/officeDocument/2006/relationships/fontTable" Target="fontTable.xml"/><Relationship Id="rId62" Type="http://schemas.openxmlformats.org/officeDocument/2006/relationships/settings" Target="settings.xml"/><Relationship Id="rId6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2.wmf"/>
</Relationships>
</file>

<file path=word/_rels/header12.xml.rels><?xml version="1.0" encoding="UTF-8"?>
<Relationships xmlns="http://schemas.openxmlformats.org/package/2006/relationships"><Relationship Id="rId1" Type="http://schemas.openxmlformats.org/officeDocument/2006/relationships/image" Target="media/image2.wmf"/>
</Relationships>
</file>

<file path=word/_rels/header13.xml.rels><?xml version="1.0" encoding="UTF-8"?>
<Relationships xmlns="http://schemas.openxmlformats.org/package/2006/relationships"><Relationship Id="rId1" Type="http://schemas.openxmlformats.org/officeDocument/2006/relationships/image" Target="media/image2.wmf"/>
</Relationships>
</file>

<file path=word/_rels/header14.xml.rels><?xml version="1.0" encoding="UTF-8"?>
<Relationships xmlns="http://schemas.openxmlformats.org/package/2006/relationships"><Relationship Id="rId1" Type="http://schemas.openxmlformats.org/officeDocument/2006/relationships/image" Target="media/image2.wmf"/>
</Relationships>
</file>

<file path=word/_rels/header15.xml.rels><?xml version="1.0" encoding="UTF-8"?>
<Relationships xmlns="http://schemas.openxmlformats.org/package/2006/relationships"><Relationship Id="rId1" Type="http://schemas.openxmlformats.org/officeDocument/2006/relationships/image" Target="media/image2.wmf"/>
</Relationships>
</file>

<file path=word/_rels/header16.xml.rels><?xml version="1.0" encoding="UTF-8"?>
<Relationships xmlns="http://schemas.openxmlformats.org/package/2006/relationships"><Relationship Id="rId1" Type="http://schemas.openxmlformats.org/officeDocument/2006/relationships/image" Target="media/image2.wmf"/>
</Relationships>
</file>

<file path=word/_rels/header17.xml.rels><?xml version="1.0" encoding="UTF-8"?>
<Relationships xmlns="http://schemas.openxmlformats.org/package/2006/relationships"><Relationship Id="rId1" Type="http://schemas.openxmlformats.org/officeDocument/2006/relationships/image" Target="media/image2.wmf"/>
</Relationships>
</file>

<file path=word/_rels/header18.xml.rels><?xml version="1.0" encoding="UTF-8"?>
<Relationships xmlns="http://schemas.openxmlformats.org/package/2006/relationships"><Relationship Id="rId1" Type="http://schemas.openxmlformats.org/officeDocument/2006/relationships/image" Target="media/image2.wmf"/>
</Relationships>
</file>

<file path=word/_rels/header19.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5.xml.rels><?xml version="1.0" encoding="UTF-8"?>
<Relationships xmlns="http://schemas.openxmlformats.org/package/2006/relationships"><Relationship Id="rId1" Type="http://schemas.openxmlformats.org/officeDocument/2006/relationships/image" Target="media/image2.wmf"/>
</Relationships>
</file>

<file path=word/_rels/header2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tar-prel.dot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2001-02-23T20:21:00Z</dcterms:created>
  <dc:creator>Patricia Didero</dc:creator>
  <dc:description/>
  <cp:keywords>Final Approved for ETB</cp:keywords>
  <dc:language>en-CA</dc:language>
  <cp:lastModifiedBy>Patricia Didero</cp:lastModifiedBy>
  <cp:lastPrinted>2001-02-23T14:25:00Z</cp:lastPrinted>
  <dcterms:modified xsi:type="dcterms:W3CDTF">2001-02-23T20:53:00Z</dcterms:modified>
  <cp:revision>5</cp:revision>
  <dc:subject/>
  <dc:title>(Approved for ETB) Tar-Prel</dc:title>
</cp:coreProperties>
</file>