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overflowPunct w:val="false"/>
        <w:autoSpaceDE w:val="false"/>
        <w:bidi w:val="0"/>
        <w:spacing w:lineRule="exact" w:line="560" w:before="3000" w:after="0"/>
        <w:jc w:val="center"/>
        <w:textAlignment w:val="baseline"/>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RATE PROPOSAL</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RATE PROPOSAL</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cs="Times New Roman"/>
              <w:szCs w:val="24"/>
              <w:lang w:val="en-CA" w:eastAsia="en-CA"/>
            </w:rPr>
          </w:pPr>
          <w:r>
            <w:fldChar w:fldCharType="begin"/>
          </w:r>
          <w:r>
            <w:rPr>
              <w:szCs w:val="28"/>
              <w:lang w:val="en-CA" w:eastAsia="en-CA"/>
            </w:rPr>
            <w:instrText xml:space="preserve"> TOC \o "1-4" \s chap </w:instrText>
          </w:r>
          <w:r>
            <w:rPr>
              <w:szCs w:val="28"/>
              <w:lang w:val="en-CA" w:eastAsia="en-CA"/>
            </w:rPr>
            <w:fldChar w:fldCharType="separate"/>
          </w:r>
          <w:r>
            <w:rPr>
              <w:szCs w:val="28"/>
              <w:lang w:val="en-CA" w:eastAsia="en-CA"/>
            </w:rPr>
            <w:t>A.</w:t>
          </w:r>
          <w:r>
            <w:rPr>
              <w:rFonts w:cs="Times New Roman" w:ascii="Times New Roman" w:hAnsi="Times New Roman"/>
              <w:szCs w:val="24"/>
              <w:lang w:val="en-CA" w:eastAsia="en-CA"/>
            </w:rPr>
            <w:tab/>
          </w:r>
          <w:r>
            <w:rPr>
              <w:szCs w:val="28"/>
              <w:lang w:val="en-CA" w:eastAsia="en-CA"/>
            </w:rPr>
            <w:t>Introduction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w:t>
          </w:r>
          <w:r>
            <w:rPr>
              <w:lang w:val="en-CA" w:eastAsia="en-CA"/>
            </w:rPr>
            <w:fldChar w:fldCharType="end"/>
          </w:r>
          <w:r>
            <w:rPr>
              <w:lang w:val="en-CA" w:eastAsia="en-CA"/>
            </w:rPr>
            <w:t>-</w:t>
          </w:r>
          <w:hyperlink w:anchor="__RefHeading___Toc499515173">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B.</w:t>
          </w:r>
          <w:r>
            <w:rPr>
              <w:rFonts w:cs="Times New Roman" w:ascii="Times New Roman" w:hAnsi="Times New Roman"/>
              <w:szCs w:val="24"/>
              <w:lang w:val="en-CA" w:eastAsia="en-CA"/>
            </w:rPr>
            <w:tab/>
          </w:r>
          <w:r>
            <w:rPr>
              <w:szCs w:val="28"/>
              <w:lang w:val="en-CA" w:eastAsia="en-CA"/>
            </w:rPr>
            <w:t>Commodity Service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3</w:t>
          </w:r>
          <w:r>
            <w:rPr>
              <w:lang w:val="en-CA" w:eastAsia="en-CA"/>
            </w:rPr>
            <w:fldChar w:fldCharType="end"/>
          </w:r>
          <w:r>
            <w:rPr>
              <w:lang w:val="en-CA" w:eastAsia="en-CA"/>
            </w:rPr>
            <w:t>-</w:t>
          </w:r>
          <w:hyperlink w:anchor="__RefHeading___Toc499515174">
            <w:r>
              <w:rPr>
                <w:rStyle w:val="IndexLink"/>
                <w:lang w:val="en-CA" w:eastAsia="en-CA"/>
              </w:rPr>
              <w:t>1</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Mandatory Rate Stabilization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4</w:t>
          </w:r>
          <w:r>
            <w:rPr>
              <w:lang w:val="en-CA" w:eastAsia="en-CA"/>
            </w:rPr>
            <w:fldChar w:fldCharType="end"/>
          </w:r>
          <w:r>
            <w:rPr>
              <w:lang w:val="en-CA" w:eastAsia="en-CA"/>
            </w:rPr>
            <w:t>-</w:t>
          </w:r>
          <w:hyperlink w:anchor="__RefHeading___Toc499515175">
            <w:r>
              <w:rPr>
                <w:rStyle w:val="IndexLink"/>
                <w:lang w:val="en-CA" w:eastAsia="en-CA"/>
              </w:rPr>
              <w:t>2</w:t>
            </w:r>
          </w:hyperlink>
        </w:p>
        <w:p>
          <w:pPr>
            <w:pStyle w:val="TOC3"/>
            <w:tabs>
              <w:tab w:val="left" w:pos="1440" w:leader="none"/>
              <w:tab w:val="right" w:pos="9000" w:leader="dot"/>
            </w:tabs>
            <w:rPr>
              <w:rFonts w:ascii="Times New Roman" w:hAnsi="Times New Roman" w:cs="Times New Roman"/>
              <w:szCs w:val="24"/>
              <w:lang w:val="en-CA" w:eastAsia="en-CA"/>
            </w:rPr>
          </w:pPr>
          <w:r>
            <w:rPr>
              <w:szCs w:val="23"/>
              <w:lang w:val="en-CA" w:eastAsia="en-CA"/>
            </w:rPr>
            <w:t>a.</w:t>
          </w:r>
          <w:r>
            <w:rPr>
              <w:rFonts w:cs="Times New Roman" w:ascii="Times New Roman" w:hAnsi="Times New Roman"/>
              <w:szCs w:val="24"/>
              <w:lang w:val="en-CA" w:eastAsia="en-CA"/>
            </w:rPr>
            <w:tab/>
          </w:r>
          <w:r>
            <w:rPr>
              <w:szCs w:val="23"/>
              <w:lang w:val="en-CA" w:eastAsia="en-CA"/>
            </w:rPr>
            <w:t>Algorithm to Stabilize Prices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5</w:t>
          </w:r>
          <w:r>
            <w:rPr>
              <w:lang w:val="en-CA" w:eastAsia="en-CA"/>
            </w:rPr>
            <w:fldChar w:fldCharType="end"/>
          </w:r>
          <w:r>
            <w:rPr>
              <w:lang w:val="en-CA" w:eastAsia="en-CA"/>
            </w:rPr>
            <w:t>-</w:t>
          </w:r>
          <w:hyperlink w:anchor="__RefHeading___Toc499515176">
            <w:r>
              <w:rPr>
                <w:rStyle w:val="IndexLink"/>
                <w:lang w:val="en-CA" w:eastAsia="en-CA"/>
              </w:rPr>
              <w:t>2</w:t>
            </w:r>
          </w:hyperlink>
        </w:p>
        <w:p>
          <w:pPr>
            <w:pStyle w:val="TOC3"/>
            <w:tabs>
              <w:tab w:val="left" w:pos="1440" w:leader="none"/>
              <w:tab w:val="right" w:pos="9000" w:leader="dot"/>
            </w:tabs>
            <w:rPr>
              <w:rFonts w:ascii="Times New Roman" w:hAnsi="Times New Roman" w:cs="Times New Roman"/>
              <w:szCs w:val="24"/>
              <w:lang w:val="en-CA" w:eastAsia="en-CA"/>
            </w:rPr>
          </w:pPr>
          <w:r>
            <w:rPr>
              <w:szCs w:val="23"/>
              <w:lang w:val="en-CA" w:eastAsia="en-CA"/>
            </w:rPr>
            <w:t>b.</w:t>
          </w:r>
          <w:r>
            <w:rPr>
              <w:rFonts w:cs="Times New Roman" w:ascii="Times New Roman" w:hAnsi="Times New Roman"/>
              <w:szCs w:val="24"/>
              <w:lang w:val="en-CA" w:eastAsia="en-CA"/>
            </w:rPr>
            <w:tab/>
          </w:r>
          <w:r>
            <w:rPr>
              <w:szCs w:val="23"/>
              <w:lang w:val="en-CA" w:eastAsia="en-CA"/>
            </w:rPr>
            <w:t>Rate Design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6</w:t>
          </w:r>
          <w:r>
            <w:rPr>
              <w:lang w:val="en-CA" w:eastAsia="en-CA"/>
            </w:rPr>
            <w:fldChar w:fldCharType="end"/>
          </w:r>
          <w:r>
            <w:rPr>
              <w:lang w:val="en-CA" w:eastAsia="en-CA"/>
            </w:rPr>
            <w:t>-</w:t>
          </w:r>
          <w:hyperlink w:anchor="__RefHeading___Toc499515177">
            <w:r>
              <w:rPr>
                <w:rStyle w:val="IndexLink"/>
                <w:lang w:val="en-CA" w:eastAsia="en-CA"/>
              </w:rPr>
              <w:t>3</w:t>
            </w:r>
          </w:hyperlink>
        </w:p>
        <w:p>
          <w:pPr>
            <w:pStyle w:val="TOC3"/>
            <w:tabs>
              <w:tab w:val="left" w:pos="1440" w:leader="none"/>
              <w:tab w:val="right" w:pos="9000" w:leader="dot"/>
            </w:tabs>
            <w:rPr>
              <w:rFonts w:ascii="Times New Roman" w:hAnsi="Times New Roman" w:cs="Times New Roman"/>
              <w:szCs w:val="24"/>
              <w:lang w:val="en-CA" w:eastAsia="en-CA"/>
            </w:rPr>
          </w:pPr>
          <w:r>
            <w:rPr>
              <w:szCs w:val="23"/>
              <w:lang w:val="en-CA" w:eastAsia="en-CA"/>
            </w:rPr>
            <w:t>c.</w:t>
          </w:r>
          <w:r>
            <w:rPr>
              <w:rFonts w:cs="Times New Roman" w:ascii="Times New Roman" w:hAnsi="Times New Roman"/>
              <w:szCs w:val="24"/>
              <w:lang w:val="en-CA" w:eastAsia="en-CA"/>
            </w:rPr>
            <w:tab/>
          </w:r>
          <w:r>
            <w:rPr>
              <w:szCs w:val="23"/>
              <w:lang w:val="en-CA" w:eastAsia="en-CA"/>
            </w:rPr>
            <w:t>Direct Access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7</w:t>
          </w:r>
          <w:r>
            <w:rPr>
              <w:lang w:val="en-CA" w:eastAsia="en-CA"/>
            </w:rPr>
            <w:fldChar w:fldCharType="end"/>
          </w:r>
          <w:r>
            <w:rPr>
              <w:lang w:val="en-CA" w:eastAsia="en-CA"/>
            </w:rPr>
            <w:t>-</w:t>
          </w:r>
          <w:hyperlink w:anchor="__RefHeading___Toc499515178">
            <w:r>
              <w:rPr>
                <w:rStyle w:val="IndexLink"/>
                <w:lang w:val="en-CA" w:eastAsia="en-CA"/>
              </w:rPr>
              <w:t>4</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Optional Rate Stabilization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8</w:t>
          </w:r>
          <w:r>
            <w:rPr>
              <w:lang w:val="en-CA" w:eastAsia="en-CA"/>
            </w:rPr>
            <w:fldChar w:fldCharType="end"/>
          </w:r>
          <w:r>
            <w:rPr>
              <w:lang w:val="en-CA" w:eastAsia="en-CA"/>
            </w:rPr>
            <w:t>-</w:t>
          </w:r>
          <w:hyperlink w:anchor="__RefHeading___Toc499515179">
            <w:r>
              <w:rPr>
                <w:rStyle w:val="IndexLink"/>
                <w:lang w:val="en-CA" w:eastAsia="en-CA"/>
              </w:rPr>
              <w:t>4</w:t>
            </w:r>
          </w:hyperlink>
        </w:p>
        <w:p>
          <w:pPr>
            <w:pStyle w:val="TOC3"/>
            <w:tabs>
              <w:tab w:val="left" w:pos="1440" w:leader="none"/>
              <w:tab w:val="right" w:pos="9000" w:leader="dot"/>
            </w:tabs>
            <w:rPr>
              <w:rFonts w:ascii="Times New Roman" w:hAnsi="Times New Roman" w:cs="Times New Roman"/>
              <w:szCs w:val="24"/>
              <w:lang w:val="en-CA" w:eastAsia="en-CA"/>
            </w:rPr>
          </w:pPr>
          <w:r>
            <w:rPr>
              <w:szCs w:val="23"/>
              <w:lang w:val="en-CA" w:eastAsia="en-CA"/>
            </w:rPr>
            <w:t>a.</w:t>
          </w:r>
          <w:r>
            <w:rPr>
              <w:rFonts w:cs="Times New Roman" w:ascii="Times New Roman" w:hAnsi="Times New Roman"/>
              <w:szCs w:val="24"/>
              <w:lang w:val="en-CA" w:eastAsia="en-CA"/>
            </w:rPr>
            <w:tab/>
          </w:r>
          <w:r>
            <w:rPr>
              <w:szCs w:val="23"/>
              <w:lang w:val="en-CA" w:eastAsia="en-CA"/>
            </w:rPr>
            <w:t>Availability</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9</w:t>
          </w:r>
          <w:r>
            <w:rPr>
              <w:lang w:val="en-CA" w:eastAsia="en-CA"/>
            </w:rPr>
            <w:fldChar w:fldCharType="end"/>
          </w:r>
          <w:r>
            <w:rPr>
              <w:lang w:val="en-CA" w:eastAsia="en-CA"/>
            </w:rPr>
            <w:t>-</w:t>
          </w:r>
          <w:hyperlink w:anchor="__RefHeading___Toc499515180">
            <w:r>
              <w:rPr>
                <w:rStyle w:val="IndexLink"/>
                <w:lang w:val="en-CA" w:eastAsia="en-CA"/>
              </w:rPr>
              <w:t>4</w:t>
            </w:r>
          </w:hyperlink>
        </w:p>
        <w:p>
          <w:pPr>
            <w:pStyle w:val="TOC3"/>
            <w:tabs>
              <w:tab w:val="left" w:pos="1440" w:leader="none"/>
              <w:tab w:val="right" w:pos="9000" w:leader="dot"/>
            </w:tabs>
            <w:rPr>
              <w:rFonts w:ascii="Times New Roman" w:hAnsi="Times New Roman" w:cs="Times New Roman"/>
              <w:szCs w:val="24"/>
              <w:lang w:val="en-CA" w:eastAsia="en-CA"/>
            </w:rPr>
          </w:pPr>
          <w:r>
            <w:rPr>
              <w:szCs w:val="23"/>
              <w:lang w:val="en-CA" w:eastAsia="en-CA"/>
            </w:rPr>
            <w:t>b.</w:t>
          </w:r>
          <w:r>
            <w:rPr>
              <w:rFonts w:cs="Times New Roman" w:ascii="Times New Roman" w:hAnsi="Times New Roman"/>
              <w:szCs w:val="24"/>
              <w:lang w:val="en-CA" w:eastAsia="en-CA"/>
            </w:rPr>
            <w:tab/>
          </w:r>
          <w:r>
            <w:rPr>
              <w:szCs w:val="23"/>
              <w:lang w:val="en-CA" w:eastAsia="en-CA"/>
            </w:rPr>
            <w:t>Pricing</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10</w:t>
          </w:r>
          <w:r>
            <w:rPr>
              <w:lang w:val="en-CA" w:eastAsia="en-CA"/>
            </w:rPr>
            <w:fldChar w:fldCharType="end"/>
          </w:r>
          <w:r>
            <w:rPr>
              <w:lang w:val="en-CA" w:eastAsia="en-CA"/>
            </w:rPr>
            <w:t>-</w:t>
          </w:r>
          <w:hyperlink w:anchor="__RefHeading___Toc499515181">
            <w:r>
              <w:rPr>
                <w:rStyle w:val="IndexLink"/>
                <w:lang w:val="en-CA" w:eastAsia="en-CA"/>
              </w:rPr>
              <w:t>5</w:t>
            </w:r>
          </w:hyperlink>
        </w:p>
        <w:p>
          <w:pPr>
            <w:pStyle w:val="TOC3"/>
            <w:tabs>
              <w:tab w:val="left" w:pos="1440" w:leader="none"/>
              <w:tab w:val="right" w:pos="9000" w:leader="dot"/>
            </w:tabs>
            <w:rPr>
              <w:rFonts w:ascii="Times New Roman" w:hAnsi="Times New Roman" w:cs="Times New Roman"/>
              <w:szCs w:val="24"/>
              <w:lang w:val="en-CA" w:eastAsia="en-CA"/>
            </w:rPr>
          </w:pPr>
          <w:r>
            <w:rPr>
              <w:szCs w:val="23"/>
              <w:lang w:val="en-CA" w:eastAsia="en-CA"/>
            </w:rPr>
            <w:t>c.</w:t>
          </w:r>
          <w:r>
            <w:rPr>
              <w:rFonts w:cs="Times New Roman" w:ascii="Times New Roman" w:hAnsi="Times New Roman"/>
              <w:szCs w:val="24"/>
              <w:lang w:val="en-CA" w:eastAsia="en-CA"/>
            </w:rPr>
            <w:tab/>
          </w:r>
          <w:r>
            <w:rPr>
              <w:szCs w:val="23"/>
              <w:lang w:val="en-CA" w:eastAsia="en-CA"/>
            </w:rPr>
            <w:t>Conditions of Service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11</w:t>
          </w:r>
          <w:r>
            <w:rPr>
              <w:lang w:val="en-CA" w:eastAsia="en-CA"/>
            </w:rPr>
            <w:fldChar w:fldCharType="end"/>
          </w:r>
          <w:r>
            <w:rPr>
              <w:lang w:val="en-CA" w:eastAsia="en-CA"/>
            </w:rPr>
            <w:t>-</w:t>
          </w:r>
          <w:hyperlink w:anchor="__RefHeading___Toc499515182">
            <w:r>
              <w:rPr>
                <w:rStyle w:val="IndexLink"/>
                <w:lang w:val="en-CA" w:eastAsia="en-CA"/>
              </w:rPr>
              <w:t>5</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C.</w:t>
          </w:r>
          <w:r>
            <w:rPr>
              <w:rFonts w:cs="Times New Roman" w:ascii="Times New Roman" w:hAnsi="Times New Roman"/>
              <w:szCs w:val="24"/>
              <w:lang w:val="en-CA" w:eastAsia="en-CA"/>
            </w:rPr>
            <w:tab/>
          </w:r>
          <w:r>
            <w:rPr>
              <w:szCs w:val="28"/>
              <w:lang w:val="en-CA" w:eastAsia="en-CA"/>
            </w:rPr>
            <w:t>Revenue Allocation and Rate Design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12</w:t>
          </w:r>
          <w:r>
            <w:rPr>
              <w:lang w:val="en-CA" w:eastAsia="en-CA"/>
            </w:rPr>
            <w:fldChar w:fldCharType="end"/>
          </w:r>
          <w:r>
            <w:rPr>
              <w:lang w:val="en-CA" w:eastAsia="en-CA"/>
            </w:rPr>
            <w:t>-</w:t>
          </w:r>
          <w:hyperlink w:anchor="__RefHeading___Toc499515183">
            <w:r>
              <w:rPr>
                <w:rStyle w:val="IndexLink"/>
                <w:lang w:val="en-CA" w:eastAsia="en-CA"/>
              </w:rPr>
              <w:t>6</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Unrecovered Costs of Service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13</w:t>
          </w:r>
          <w:r>
            <w:rPr>
              <w:lang w:val="en-CA" w:eastAsia="en-CA"/>
            </w:rPr>
            <w:fldChar w:fldCharType="end"/>
          </w:r>
          <w:r>
            <w:rPr>
              <w:lang w:val="en-CA" w:eastAsia="en-CA"/>
            </w:rPr>
            <w:t>-</w:t>
          </w:r>
          <w:hyperlink w:anchor="__RefHeading___Toc499515184">
            <w:r>
              <w:rPr>
                <w:rStyle w:val="IndexLink"/>
                <w:lang w:val="en-CA" w:eastAsia="en-CA"/>
              </w:rPr>
              <w:t>6</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Distribution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14</w:t>
          </w:r>
          <w:r>
            <w:rPr>
              <w:lang w:val="en-CA" w:eastAsia="en-CA"/>
            </w:rPr>
            <w:fldChar w:fldCharType="end"/>
          </w:r>
          <w:r>
            <w:rPr>
              <w:lang w:val="en-CA" w:eastAsia="en-CA"/>
            </w:rPr>
            <w:t>-</w:t>
          </w:r>
          <w:hyperlink w:anchor="__RefHeading___Toc499515185">
            <w:r>
              <w:rPr>
                <w:rStyle w:val="IndexLink"/>
                <w:lang w:val="en-CA" w:eastAsia="en-CA"/>
              </w:rPr>
              <w:t>6</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3.</w:t>
          </w:r>
          <w:r>
            <w:rPr>
              <w:rFonts w:cs="Times New Roman" w:ascii="Times New Roman" w:hAnsi="Times New Roman"/>
              <w:szCs w:val="24"/>
              <w:lang w:val="en-CA" w:eastAsia="en-CA"/>
            </w:rPr>
            <w:tab/>
          </w:r>
          <w:r>
            <w:rPr>
              <w:szCs w:val="26"/>
              <w:lang w:val="en-CA" w:eastAsia="en-CA"/>
            </w:rPr>
            <w:t>Public Purpose Programs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15</w:t>
          </w:r>
          <w:r>
            <w:rPr>
              <w:lang w:val="en-CA" w:eastAsia="en-CA"/>
            </w:rPr>
            <w:fldChar w:fldCharType="end"/>
          </w:r>
          <w:r>
            <w:rPr>
              <w:lang w:val="en-CA" w:eastAsia="en-CA"/>
            </w:rPr>
            <w:t>-</w:t>
          </w:r>
          <w:hyperlink w:anchor="__RefHeading___Toc499515186">
            <w:r>
              <w:rPr>
                <w:rStyle w:val="IndexLink"/>
                <w:lang w:val="en-CA" w:eastAsia="en-CA"/>
              </w:rPr>
              <w:t>7</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4.</w:t>
          </w:r>
          <w:r>
            <w:rPr>
              <w:rFonts w:cs="Times New Roman" w:ascii="Times New Roman" w:hAnsi="Times New Roman"/>
              <w:szCs w:val="24"/>
              <w:lang w:val="en-CA" w:eastAsia="en-CA"/>
            </w:rPr>
            <w:tab/>
          </w:r>
          <w:r>
            <w:rPr>
              <w:szCs w:val="26"/>
              <w:lang w:val="en-CA" w:eastAsia="en-CA"/>
            </w:rPr>
            <w:t>Ongoing Competition Transition Charges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16</w:t>
          </w:r>
          <w:r>
            <w:rPr>
              <w:lang w:val="en-CA" w:eastAsia="en-CA"/>
            </w:rPr>
            <w:fldChar w:fldCharType="end"/>
          </w:r>
          <w:r>
            <w:rPr>
              <w:lang w:val="en-CA" w:eastAsia="en-CA"/>
            </w:rPr>
            <w:t>-</w:t>
          </w:r>
          <w:hyperlink w:anchor="__RefHeading___Toc499515187">
            <w:r>
              <w:rPr>
                <w:rStyle w:val="IndexLink"/>
                <w:lang w:val="en-CA" w:eastAsia="en-CA"/>
              </w:rPr>
              <w:t>8</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5.</w:t>
          </w:r>
          <w:r>
            <w:rPr>
              <w:rFonts w:cs="Times New Roman" w:ascii="Times New Roman" w:hAnsi="Times New Roman"/>
              <w:szCs w:val="24"/>
              <w:lang w:val="en-CA" w:eastAsia="en-CA"/>
            </w:rPr>
            <w:tab/>
          </w:r>
          <w:r>
            <w:rPr>
              <w:szCs w:val="26"/>
              <w:lang w:val="en-CA" w:eastAsia="en-CA"/>
            </w:rPr>
            <w:t>Schedule A-RTP</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17</w:t>
          </w:r>
          <w:r>
            <w:rPr>
              <w:lang w:val="en-CA" w:eastAsia="en-CA"/>
            </w:rPr>
            <w:fldChar w:fldCharType="end"/>
          </w:r>
          <w:r>
            <w:rPr>
              <w:lang w:val="en-CA" w:eastAsia="en-CA"/>
            </w:rPr>
            <w:t>-</w:t>
          </w:r>
          <w:hyperlink w:anchor="__RefHeading___Toc499515188">
            <w:r>
              <w:rPr>
                <w:rStyle w:val="IndexLink"/>
                <w:lang w:val="en-CA" w:eastAsia="en-CA"/>
              </w:rPr>
              <w:t>8</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6.</w:t>
          </w:r>
          <w:r>
            <w:rPr>
              <w:rFonts w:cs="Times New Roman" w:ascii="Times New Roman" w:hAnsi="Times New Roman"/>
              <w:szCs w:val="24"/>
              <w:lang w:val="en-CA" w:eastAsia="en-CA"/>
            </w:rPr>
            <w:tab/>
          </w:r>
          <w:r>
            <w:rPr>
              <w:szCs w:val="26"/>
              <w:lang w:val="en-CA" w:eastAsia="en-CA"/>
            </w:rPr>
            <w:t>Revenue Allocation Results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18</w:t>
          </w:r>
          <w:r>
            <w:rPr>
              <w:lang w:val="en-CA" w:eastAsia="en-CA"/>
            </w:rPr>
            <w:fldChar w:fldCharType="end"/>
          </w:r>
          <w:r>
            <w:rPr>
              <w:lang w:val="en-CA" w:eastAsia="en-CA"/>
            </w:rPr>
            <w:t>-</w:t>
          </w:r>
          <w:hyperlink w:anchor="__RefHeading___Toc499515189">
            <w:r>
              <w:rPr>
                <w:rStyle w:val="IndexLink"/>
                <w:lang w:val="en-CA" w:eastAsia="en-CA"/>
              </w:rPr>
              <w:t>9</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7.</w:t>
          </w:r>
          <w:r>
            <w:rPr>
              <w:rFonts w:cs="Times New Roman" w:ascii="Times New Roman" w:hAnsi="Times New Roman"/>
              <w:szCs w:val="24"/>
              <w:lang w:val="en-CA" w:eastAsia="en-CA"/>
            </w:rPr>
            <w:tab/>
          </w:r>
          <w:r>
            <w:rPr>
              <w:szCs w:val="26"/>
              <w:lang w:val="en-CA" w:eastAsia="en-CA"/>
            </w:rPr>
            <w:t>Proposed Rate Components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19</w:t>
          </w:r>
          <w:r>
            <w:rPr>
              <w:lang w:val="en-CA" w:eastAsia="en-CA"/>
            </w:rPr>
            <w:fldChar w:fldCharType="end"/>
          </w:r>
          <w:r>
            <w:rPr>
              <w:lang w:val="en-CA" w:eastAsia="en-CA"/>
            </w:rPr>
            <w:t>-</w:t>
          </w:r>
          <w:hyperlink w:anchor="__RefHeading___Toc499515190">
            <w:r>
              <w:rPr>
                <w:rStyle w:val="IndexLink"/>
                <w:lang w:val="en-CA" w:eastAsia="en-CA"/>
              </w:rPr>
              <w:t>9</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D.</w:t>
          </w:r>
          <w:r>
            <w:rPr>
              <w:rFonts w:cs="Times New Roman" w:ascii="Times New Roman" w:hAnsi="Times New Roman"/>
              <w:szCs w:val="24"/>
              <w:lang w:val="en-CA" w:eastAsia="en-CA"/>
            </w:rPr>
            <w:tab/>
          </w:r>
          <w:r>
            <w:rPr>
              <w:szCs w:val="28"/>
              <w:lang w:val="en-CA" w:eastAsia="en-CA"/>
            </w:rPr>
            <w:t>Bill and Tariff Requirements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20</w:t>
          </w:r>
          <w:r>
            <w:rPr>
              <w:lang w:val="en-CA" w:eastAsia="en-CA"/>
            </w:rPr>
            <w:fldChar w:fldCharType="end"/>
          </w:r>
          <w:r>
            <w:rPr>
              <w:lang w:val="en-CA" w:eastAsia="en-CA"/>
            </w:rPr>
            <w:t>-</w:t>
          </w:r>
          <w:hyperlink w:anchor="__RefHeading___Toc499515191">
            <w:r>
              <w:rPr>
                <w:rStyle w:val="IndexLink"/>
                <w:lang w:val="en-CA" w:eastAsia="en-CA"/>
              </w:rPr>
              <w:t>9</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E.</w:t>
          </w:r>
          <w:r>
            <w:rPr>
              <w:rFonts w:cs="Times New Roman" w:ascii="Times New Roman" w:hAnsi="Times New Roman"/>
              <w:szCs w:val="24"/>
              <w:lang w:val="en-CA" w:eastAsia="en-CA"/>
            </w:rPr>
            <w:tab/>
          </w:r>
          <w:r>
            <w:rPr>
              <w:szCs w:val="28"/>
              <w:lang w:val="en-CA" w:eastAsia="en-CA"/>
            </w:rPr>
            <w:t>Conclusion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21</w:t>
          </w:r>
          <w:r>
            <w:rPr>
              <w:lang w:val="en-CA" w:eastAsia="en-CA"/>
            </w:rPr>
            <w:fldChar w:fldCharType="end"/>
          </w:r>
          <w:r>
            <w:rPr>
              <w:lang w:val="en-CA" w:eastAsia="en-CA"/>
            </w:rPr>
            <w:t>-</w:t>
          </w:r>
          <w:hyperlink w:anchor="__RefHeading___Toc499515192">
            <w:r>
              <w:rPr>
                <w:rStyle w:val="IndexLink"/>
                <w:lang w:val="en-CA" w:eastAsia="en-CA"/>
              </w:rPr>
              <w:t>10</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docGrid w:type="default" w:linePitch="360" w:charSpace="0"/>
        </w:sectPr>
        <w:pStyle w:val="Normal"/>
        <w:rPr>
          <w:rFonts w:ascii="Times New Roman" w:hAnsi="Times New Roman" w:cs="Times New Roman"/>
          <w:szCs w:val="24"/>
          <w:lang w:val="en-CA" w:eastAsia="en-CA"/>
        </w:rPr>
      </w:pPr>
      <w:r>
        <w:rPr>
          <w:rFonts w:cs="Times New Roman" w:ascii="Times New Roman" w:hAnsi="Times New Roman"/>
          <w:szCs w:val="24"/>
          <w:lang w:val="en-CA" w:eastAsia="en-CA"/>
        </w:rPr>
      </w:r>
    </w:p>
    <w:p>
      <w:pPr>
        <w:pStyle w:val="TITLE1"/>
        <w:rPr/>
      </w:pPr>
      <w:r>
        <w:rPr/>
        <w:t>PACIFIC GAS AND ELECTRIC COMPANY</w:t>
      </w:r>
    </w:p>
    <w:p>
      <w:pPr>
        <w:pStyle w:val="TITLE2"/>
        <w:rPr/>
      </w:pPr>
      <w:r>
        <w:rPr/>
        <w:t xml:space="preserve">CHAPTER </w:t>
      </w:r>
      <w:r>
        <w:rPr/>
        <w:fldChar w:fldCharType="begin"/>
      </w:r>
      <w:r>
        <w:rPr/>
        <w:instrText xml:space="preserve"> SEQ chap \* ARABIC </w:instrText>
      </w:r>
      <w:r>
        <w:rPr/>
        <w:fldChar w:fldCharType="separate"/>
      </w:r>
      <w:r>
        <w:rPr/>
        <w:t>21</w:t>
      </w:r>
      <w:r>
        <w:rPr/>
        <w:fldChar w:fldCharType="end"/>
      </w:r>
    </w:p>
    <w:p>
      <w:pPr>
        <w:pStyle w:val="TITLE3"/>
        <w:rPr/>
      </w:pPr>
      <w:r>
        <w:rPr/>
        <w:t>RATE PROPOSAL</w:t>
      </w:r>
    </w:p>
    <w:p>
      <w:pPr>
        <w:pStyle w:val="Heading1"/>
        <w:ind w:firstLine="432" w:start="0"/>
        <w:rPr/>
      </w:pPr>
      <w:bookmarkStart w:id="0" w:name="__RefHeading___Toc499515173"/>
      <w:bookmarkEnd w:id="0"/>
      <w:r>
        <w:rPr/>
        <w:t>Introduction</w:t>
      </w:r>
    </w:p>
    <w:p>
      <w:pPr>
        <w:pStyle w:val="Body1"/>
        <w:rPr/>
      </w:pPr>
      <w:r>
        <w:rPr/>
        <w:t>This chapter, in conjunction with Appendices 7A and 7B, presents PG&amp;E’s rate proposal for its rate stabilization plan (RSP).  This testimony supersedes Advice 2057-E (end-of-freeze tariffs) filed in compliance with Decision 99</w:t>
        <w:noBreakHyphen/>
        <w:t>10</w:t>
        <w:noBreakHyphen/>
        <w:t>057, Decision 00-03-058 and Decision 00</w:t>
        <w:noBreakHyphen/>
        <w:t>06</w:t>
        <w:noBreakHyphen/>
        <w:t>034.  PG&amp;E’s proposal for end</w:t>
        <w:noBreakHyphen/>
        <w:t>of</w:t>
        <w:noBreakHyphen/>
        <w:t xml:space="preserve">freeze rates, tariffs, and bills absent the rate stabilization plan are provided in Appendix 7A to this chapter and are an integral part of PG&amp;E’s proposal in this application, unless modified in this chapter.  As previously stated in this filing, PG&amp;E proposes that on an interim basis, the RSP be implemented on January 1, 2001, with final rates adopted no later than March 31, 2001. </w:t>
      </w:r>
    </w:p>
    <w:p>
      <w:pPr>
        <w:pStyle w:val="Body1"/>
        <w:rPr/>
      </w:pPr>
      <w:r>
        <w:rPr/>
        <w:t>The remainder of this chapter is organized as follows:</w:t>
      </w:r>
    </w:p>
    <w:p>
      <w:pPr>
        <w:pStyle w:val="Bullet1"/>
        <w:numPr>
          <w:ilvl w:val="0"/>
          <w:numId w:val="2"/>
        </w:numPr>
        <w:rPr/>
      </w:pPr>
      <w:r>
        <w:rPr/>
        <w:t>Section B - Commodity Service</w:t>
      </w:r>
    </w:p>
    <w:p>
      <w:pPr>
        <w:pStyle w:val="Bullet1"/>
        <w:numPr>
          <w:ilvl w:val="0"/>
          <w:numId w:val="2"/>
        </w:numPr>
        <w:rPr/>
      </w:pPr>
      <w:r>
        <w:rPr/>
        <w:t>Section C - Revenue Allocation and Rate Design</w:t>
      </w:r>
    </w:p>
    <w:p>
      <w:pPr>
        <w:pStyle w:val="Bullet1"/>
        <w:numPr>
          <w:ilvl w:val="0"/>
          <w:numId w:val="2"/>
        </w:numPr>
        <w:rPr/>
      </w:pPr>
      <w:r>
        <w:rPr/>
        <w:t xml:space="preserve">Section D - Bill and Tariff Requirements </w:t>
      </w:r>
    </w:p>
    <w:p>
      <w:pPr>
        <w:pStyle w:val="Bullet1"/>
        <w:numPr>
          <w:ilvl w:val="0"/>
          <w:numId w:val="2"/>
        </w:numPr>
        <w:rPr/>
      </w:pPr>
      <w:r>
        <w:rPr/>
        <w:t>Section E - Conclusion</w:t>
      </w:r>
    </w:p>
    <w:p>
      <w:pPr>
        <w:pStyle w:val="Bullet1"/>
        <w:numPr>
          <w:ilvl w:val="0"/>
          <w:numId w:val="2"/>
        </w:numPr>
        <w:rPr/>
      </w:pPr>
      <w:r>
        <w:rPr/>
        <w:t>Appendix A, End of Freeze Revisions to Rate Schedules and Bills</w:t>
      </w:r>
    </w:p>
    <w:p>
      <w:pPr>
        <w:pStyle w:val="Bullet1"/>
        <w:numPr>
          <w:ilvl w:val="0"/>
          <w:numId w:val="2"/>
        </w:numPr>
        <w:rPr/>
      </w:pPr>
      <w:r>
        <w:rPr/>
        <w:t>Appendix B, Proposed Rates by Function</w:t>
      </w:r>
    </w:p>
    <w:p>
      <w:pPr>
        <w:pStyle w:val="Heading1"/>
        <w:ind w:firstLine="432" w:start="0"/>
        <w:rPr/>
      </w:pPr>
      <w:bookmarkStart w:id="1" w:name="__RefHeading___Toc499515174"/>
      <w:bookmarkEnd w:id="1"/>
      <w:r>
        <w:rPr/>
        <w:t>Commodity Service</w:t>
      </w:r>
    </w:p>
    <w:p>
      <w:pPr>
        <w:pStyle w:val="Body1"/>
        <w:rPr/>
      </w:pPr>
      <w:r>
        <w:rPr/>
        <w:t>The purpose of rate stabilization is to provide stable commodity prices to reduce month-to-month variation in prices while incorporating an automatic price adjustment mechanism should uncollected amounts recorded in the Unrecovered Cost of Service Account (UCSA) plus current uncollected commodity costs exceed pre-specified levels.  Mandatory rate schedules are those where all customers taking service on the schedule are served based on stabilized commodity prices.  Beginning March 31, 2001, PG&amp;E also proposes optional rate stabilization for customers not taking service under mandatory rate schedules.</w:t>
      </w:r>
    </w:p>
    <w:p>
      <w:pPr>
        <w:pStyle w:val="Heading2"/>
        <w:ind w:firstLine="432" w:start="0"/>
        <w:rPr/>
      </w:pPr>
      <w:bookmarkStart w:id="2" w:name="__RefHeading___Toc499515175"/>
      <w:bookmarkEnd w:id="2"/>
      <w:r>
        <w:rPr/>
        <w:t>Mandatory Rate Stabilization</w:t>
      </w:r>
    </w:p>
    <w:p>
      <w:pPr>
        <w:pStyle w:val="Body2"/>
        <w:rPr/>
      </w:pPr>
      <w:r>
        <w:rPr/>
        <w:t>As discussed in Chapter 2, all customers served on mandatory rate schedules will participate in rate stabilization.  Rate schedules subject to mandatory price stabilization are:</w:t>
      </w:r>
    </w:p>
    <w:p>
      <w:pPr>
        <w:pStyle w:val="Bullet2"/>
        <w:numPr>
          <w:ilvl w:val="0"/>
          <w:numId w:val="2"/>
        </w:numPr>
        <w:ind w:hanging="432" w:start="1296" w:end="0"/>
        <w:rPr/>
      </w:pPr>
      <w:r>
        <w:rPr/>
        <w:t>All residential rate schedules;</w:t>
      </w:r>
    </w:p>
    <w:p>
      <w:pPr>
        <w:pStyle w:val="Bullet2"/>
        <w:numPr>
          <w:ilvl w:val="0"/>
          <w:numId w:val="2"/>
        </w:numPr>
        <w:ind w:hanging="432" w:start="1296" w:end="0"/>
        <w:rPr/>
      </w:pPr>
      <w:r>
        <w:rPr/>
        <w:t>All agricultural rate schedules;</w:t>
      </w:r>
    </w:p>
    <w:p>
      <w:pPr>
        <w:pStyle w:val="Bullet2"/>
        <w:numPr>
          <w:ilvl w:val="0"/>
          <w:numId w:val="2"/>
        </w:numPr>
        <w:ind w:hanging="432" w:start="1296" w:end="0"/>
        <w:rPr/>
      </w:pPr>
      <w:r>
        <w:rPr/>
        <w:t>Commercial rate schedules A-1, A-6, A-15, A-10 and E-19 V (voluntary), E-36 and E-37; and</w:t>
      </w:r>
    </w:p>
    <w:p>
      <w:pPr>
        <w:pStyle w:val="Bullet2"/>
        <w:numPr>
          <w:ilvl w:val="0"/>
          <w:numId w:val="2"/>
        </w:numPr>
        <w:ind w:hanging="432" w:start="1296" w:end="0"/>
        <w:rPr/>
      </w:pPr>
      <w:r>
        <w:rPr/>
        <w:t>Streetlighting rate schedules OL-1, LS-1, LS-2, LS-3 and TC-1;</w:t>
      </w:r>
    </w:p>
    <w:p>
      <w:pPr>
        <w:pStyle w:val="Body2"/>
        <w:rPr/>
      </w:pPr>
      <w:r>
        <w:rPr/>
        <w:t>As described in Chapter 2, both bundled service and direct access customers on these rate schedules receive the benefits and pay for rate stabilization.  The methodology to establish stabilized prices will be set forth in detail in Schedule PX.</w:t>
      </w:r>
    </w:p>
    <w:p>
      <w:pPr>
        <w:pStyle w:val="Heading3"/>
        <w:ind w:firstLine="432" w:start="0"/>
        <w:rPr/>
      </w:pPr>
      <w:bookmarkStart w:id="3" w:name="__RefHeading___Toc499515176"/>
      <w:bookmarkEnd w:id="3"/>
      <w:r>
        <w:rPr/>
        <w:t>Algorithm to Stabilize Prices</w:t>
      </w:r>
    </w:p>
    <w:p>
      <w:pPr>
        <w:pStyle w:val="Body3"/>
        <w:rPr/>
      </w:pPr>
      <w:r>
        <w:rPr/>
        <w:t>PG&amp;E proposes to set the initial stabilized commodity price at 6.5 cents per kilowatt-hour (kWh).  Annually, beginning on December 15, 2001, PG&amp;E will file an advice letter which will determine a revised stabilized price to become effective automatically on January 1.  The revised stabilized price will be derived as the sum of the initial stabilized commodity price (i.e., 6.5 cents per kWh) plus an adjustment rate.  The adjustment rate will be determined by dividing the under- or over-collection due to providing stabilized prices for mandatory rate schedules (as recorded in the Deferred Procurement Revenue Account (DPRA) described in Chapter 6) by PG&amp;E’s most recently filed sales forecast for those schedules in the coming two</w:t>
        <w:noBreakHyphen/>
        <w:t xml:space="preserve">year period.  </w:t>
      </w:r>
    </w:p>
    <w:p>
      <w:pPr>
        <w:pStyle w:val="Body3"/>
        <w:rPr/>
      </w:pPr>
      <w:r>
        <w:rPr/>
        <w:t xml:space="preserve">Should the initial stabilized price be so low that the undercollections build up quickly to the threshold levels defined in Chapter 3, PG&amp;E proposes an automatic interim adjustment to the stabilized price up to twice per year.  These adjustments can be triggered in two ways.  First, when the sum of the undercollections in the UCSA plus the current commodity cost undercollections recorded in the Purchased Electric Commodity Account (PECA) and DPRA exceed predetermined levels proposed in Chapter 3, prices are increased by 1 cent per kWh.  Second, an increase of 1 cent per kWh would also be triggered when the balance of UCSA, PECA and DPRA increases in excess of $1 billion.  Should the commodity prices be on the order of the prices experienced in 2000, this approach will allow prices to increase more gradually and reduce the amount to be collected in the next year.  PG&amp;E proposes that the interim adjustment, if necessary, be accomplished by advice letter and become effective automatically when filed.  </w:t>
      </w:r>
    </w:p>
    <w:p>
      <w:pPr>
        <w:pStyle w:val="Heading3"/>
        <w:ind w:firstLine="432" w:start="0"/>
        <w:rPr/>
      </w:pPr>
      <w:bookmarkStart w:id="4" w:name="__RefHeading___Toc499515177"/>
      <w:bookmarkEnd w:id="4"/>
      <w:r>
        <w:rPr/>
        <w:t>Rate Design</w:t>
      </w:r>
    </w:p>
    <w:p>
      <w:pPr>
        <w:pStyle w:val="Body3"/>
        <w:rPr/>
      </w:pPr>
      <w:r>
        <w:rPr/>
        <w:t>PG&amp;E proposes to vary the prices for mandatory schedules by service voltage, load shape and time-of-use (TOU).  To make the adjustment for service voltage and load shape, PG&amp;E will set the commodity price on Schedule E-1 equal to the initial stabilized price, or in this case 6.5 cents per kWh.  The prices for the remaining mandatory schedules will then be adjusted in proportion to differences in the actual average prices on each rate schedule and each service voltage over the 12</w:t>
        <w:noBreakHyphen/>
        <w:t>month period ending September 2000.</w:t>
      </w:r>
      <w:r>
        <w:rPr>
          <w:b/>
          <w:color w:val="000000"/>
          <w:position w:val="6"/>
        </w:rPr>
        <w:t>[</w:t>
      </w:r>
      <w:r>
        <w:rPr>
          <w:rStyle w:val="FootnoteCharacters"/>
          <w:rStyle w:val="FootnoteReference"/>
        </w:rPr>
        <w:footnoteReference w:id="2"/>
      </w:r>
      <w:r>
        <w:rPr>
          <w:b/>
          <w:color w:val="000000"/>
          <w:position w:val="6"/>
        </w:rPr>
        <w:t>]</w:t>
      </w:r>
      <w:r>
        <w:rPr/>
        <w:t xml:space="preserve">  </w:t>
      </w:r>
    </w:p>
    <w:p>
      <w:pPr>
        <w:pStyle w:val="Body3"/>
        <w:rPr/>
      </w:pPr>
      <w:r>
        <w:rPr/>
        <w:t>For rate schedules featuring TOU pricing, PG&amp;E will determine the actual average and the TOU prices for a rate schedule absent the effects of stabilization.  The actual TOU prices would then be adjusted by the ratio of the stabilized price for the rate schedule as determined above divided by the actual average price.</w:t>
      </w:r>
      <w:r>
        <w:rPr>
          <w:b/>
          <w:color w:val="000000"/>
          <w:position w:val="6"/>
        </w:rPr>
        <w:t>[</w:t>
      </w:r>
      <w:r>
        <w:rPr>
          <w:rStyle w:val="FootnoteCharacters"/>
          <w:rStyle w:val="FootnoteReference"/>
        </w:rPr>
        <w:footnoteReference w:id="3"/>
      </w:r>
      <w:r>
        <w:rPr>
          <w:b/>
          <w:color w:val="000000"/>
          <w:position w:val="6"/>
        </w:rPr>
        <w:t>]</w:t>
      </w:r>
      <w:r>
        <w:rPr/>
        <w:t xml:space="preserve">  This will keep TOU prices in the proper proportion and ensure that TOU customers receive benefits of stabilization in proportion to other customers.</w:t>
      </w:r>
      <w:r>
        <w:rPr>
          <w:b/>
          <w:color w:val="000000"/>
          <w:position w:val="6"/>
        </w:rPr>
        <w:t>[</w:t>
      </w:r>
      <w:r>
        <w:rPr>
          <w:rStyle w:val="FootnoteCharacters"/>
          <w:rStyle w:val="FootnoteReference"/>
        </w:rPr>
        <w:footnoteReference w:id="4"/>
      </w:r>
      <w:r>
        <w:rPr>
          <w:b/>
          <w:color w:val="000000"/>
          <w:position w:val="6"/>
        </w:rPr>
        <w:t>]</w:t>
      </w:r>
      <w:r>
        <w:rPr/>
        <w:t xml:space="preserve">  </w:t>
      </w:r>
    </w:p>
    <w:p>
      <w:pPr>
        <w:pStyle w:val="Heading3"/>
        <w:ind w:firstLine="432" w:start="0"/>
        <w:rPr/>
      </w:pPr>
      <w:bookmarkStart w:id="5" w:name="__RefHeading___Toc499515178"/>
      <w:bookmarkEnd w:id="5"/>
      <w:r>
        <w:rPr/>
        <w:t>Direct Access</w:t>
      </w:r>
    </w:p>
    <w:p>
      <w:pPr>
        <w:pStyle w:val="Body3"/>
        <w:rPr/>
      </w:pPr>
      <w:r>
        <w:rPr/>
        <w:t>Both bundled and direct access customers on mandatory rate schedules will receive the benefit and pay the cost of rate stabilization.  If the stabilized price is lower than the actual price, the direct access customer will see a credit on his bill equal to the difference between these two charges.  If the stabilized price exceeds the actual price, the direct access customer will see a charge equal to the difference between these two charges.  These charges and credits will be recorded in the DPRA and will appear on the bill as the Direct Access Rate Stabilization Adjustment.</w:t>
      </w:r>
    </w:p>
    <w:p>
      <w:pPr>
        <w:pStyle w:val="Heading2"/>
        <w:ind w:firstLine="432" w:start="0"/>
        <w:rPr/>
      </w:pPr>
      <w:bookmarkStart w:id="6" w:name="__RefHeading___Toc499515179"/>
      <w:bookmarkEnd w:id="6"/>
      <w:r>
        <w:rPr/>
        <w:t>Optional Rate Stabilization</w:t>
      </w:r>
    </w:p>
    <w:p>
      <w:pPr>
        <w:pStyle w:val="Body2"/>
        <w:rPr/>
      </w:pPr>
      <w:r>
        <w:rPr/>
        <w:t>Bundled service customers that are not served under a mandatory rate schedule may elect optional price stabilization, or “opt-in” price stabilization on or after March 31, 2001.  These rate schedules include the standby rate schedule, and commercial and industrial rate schedules E</w:t>
        <w:noBreakHyphen/>
        <w:t>19 M (mandatory greater than &gt; 500 kW), E</w:t>
        <w:noBreakHyphen/>
        <w:t>20 and E</w:t>
        <w:noBreakHyphen/>
        <w:t>25.</w:t>
      </w:r>
    </w:p>
    <w:p>
      <w:pPr>
        <w:pStyle w:val="Heading3"/>
        <w:ind w:firstLine="432" w:start="0"/>
        <w:rPr/>
      </w:pPr>
      <w:bookmarkStart w:id="7" w:name="__RefHeading___Toc499515180"/>
      <w:bookmarkEnd w:id="7"/>
      <w:r>
        <w:rPr/>
        <w:t>Availability</w:t>
      </w:r>
    </w:p>
    <w:p>
      <w:pPr>
        <w:pStyle w:val="Body3"/>
        <w:rPr/>
      </w:pPr>
      <w:r>
        <w:rPr/>
        <w:t>The opt-in program will not be available immediately upon implementation of rates resulting from this application.  In order to implement this program, PG&amp;E will need to establish an appropriate process to manage communication with customers, receive and manage contracts, review eligible customers for credit worthiness, transfer data to the customer information system, and coordinate with Energy Service Providers.  In addition, bill calculation algorithms and the bill presentation revisions will be required.  While this is a significant effort, PG&amp;E will be able to begin to allow customers to elect this option on March 31, 2001.  Billing under the option will begin no earlier than May 1, 2001.</w:t>
      </w:r>
    </w:p>
    <w:p>
      <w:pPr>
        <w:pStyle w:val="Heading3"/>
        <w:ind w:firstLine="432" w:start="0"/>
        <w:rPr/>
      </w:pPr>
      <w:bookmarkStart w:id="8" w:name="__RefHeading___Toc499515181"/>
      <w:bookmarkEnd w:id="8"/>
      <w:r>
        <w:rPr/>
        <w:t>Pricing</w:t>
      </w:r>
    </w:p>
    <w:p>
      <w:pPr>
        <w:pStyle w:val="Body3"/>
        <w:rPr/>
      </w:pPr>
      <w:r>
        <w:rPr/>
        <w:t xml:space="preserve">Customers who elect opt-in service pay PG&amp;E the appropriate noncommodity charges for the customer’s otherwise applicable rate schedule.  In addition, the customer pays a stabilized commodity price for that rate schedule.  For rate schedules that are not mandatory, PG&amp;E will determine stabilized rates for these rate schedules at each service voltage using the same methods described for mandatory rate schedules.  Each month, the customer will be billed based on the stabilized price.  The difference between the stabilized commodity price and the actual commodity price will be determined and the accrued balance will be shown on the bill.  If the stabilized price exceeds the actual commodity price, the accrued balance will be reduced.  If the actual commodity price exceeds the stabilized commodity price, the accrued balance will be increased.  </w:t>
      </w:r>
    </w:p>
    <w:p>
      <w:pPr>
        <w:pStyle w:val="Heading3"/>
        <w:ind w:firstLine="432" w:start="0"/>
        <w:rPr/>
      </w:pPr>
      <w:bookmarkStart w:id="9" w:name="__RefHeading___Toc499515182"/>
      <w:bookmarkEnd w:id="9"/>
      <w:r>
        <w:rPr/>
        <w:t>Conditions of Service</w:t>
      </w:r>
    </w:p>
    <w:p>
      <w:pPr>
        <w:pStyle w:val="Body3"/>
        <w:rPr/>
      </w:pPr>
      <w:r>
        <w:rPr/>
        <w:t>Opt-in service is available to eligible customers subject to a credit review and execution of a 12</w:t>
        <w:noBreakHyphen/>
        <w:t>month contract for service.  Each month, the accumulated difference between the actual commodity price and the stabilized price will be shown on the customer’s bill.  After 12 months the accrued balance will become due, subject to PG&amp;E’s normal credit procedures.  Should the customer elect direct access, discontinue service, or fail to remain current in its payments to PG&amp;E during the term of the contract, the accrued balance will become due and payable.</w:t>
      </w:r>
    </w:p>
    <w:p>
      <w:pPr>
        <w:pStyle w:val="Body3"/>
        <w:rPr/>
      </w:pPr>
      <w:r>
        <w:rPr/>
        <w:t xml:space="preserve">Opt-in customers will begin receiving bills no earlier than May 1, 2001.  Requests for opt-in service will become effective on the meter read date following the request, provided PG&amp;E receives the request 15 days in advance of the customer’s meter read date.  </w:t>
      </w:r>
    </w:p>
    <w:p>
      <w:pPr>
        <w:pStyle w:val="Body3"/>
        <w:rPr/>
      </w:pPr>
      <w:r>
        <w:rPr/>
        <w:t xml:space="preserve">The tariff and contract necessary to implement this program, including PG&amp;E’s proposed credit criteria, will be filed no later than January 15, 2001, based on a Commission decision in this application authorizing the program.  PG&amp;E will allow customers to elect this option through November 30, 2001.  If there is sufficient interest in the program, PG&amp;E may propose to extend the program an additional year.  </w:t>
      </w:r>
    </w:p>
    <w:p>
      <w:pPr>
        <w:pStyle w:val="Heading1"/>
        <w:ind w:firstLine="432" w:start="0"/>
        <w:rPr/>
      </w:pPr>
      <w:bookmarkStart w:id="10" w:name="__RefHeading___Toc499515183"/>
      <w:bookmarkEnd w:id="10"/>
      <w:r>
        <w:rPr/>
        <w:t>Revenue Allocation and Rate Design</w:t>
      </w:r>
    </w:p>
    <w:p>
      <w:pPr>
        <w:pStyle w:val="Body1"/>
        <w:rPr/>
      </w:pPr>
      <w:r>
        <w:rPr/>
        <w:t>The rates proposed for each rate schedule in this application differ from those filed in Advice 2057-E for end-of-freeze rates.  Changes to distribution, public purpose program, UCSA and ongoing Competition Transition Charges (CTC) rates result from the RSP rate proposal.  The basis for changes in rates relative to Advice 2057-E is described below.</w:t>
      </w:r>
    </w:p>
    <w:p>
      <w:pPr>
        <w:pStyle w:val="Heading2"/>
        <w:ind w:firstLine="432" w:start="0"/>
        <w:rPr/>
      </w:pPr>
      <w:bookmarkStart w:id="11" w:name="__RefHeading___Toc499515184"/>
      <w:bookmarkEnd w:id="11"/>
      <w:r>
        <w:rPr/>
        <w:t>Unrecovered Costs of Service</w:t>
      </w:r>
    </w:p>
    <w:p>
      <w:pPr>
        <w:pStyle w:val="Body2"/>
        <w:rPr/>
      </w:pPr>
      <w:r>
        <w:rPr/>
        <w:t>PG&amp;E is proposing rates to recover costs recorded in the UCSA.</w:t>
      </w:r>
      <w:r>
        <w:rPr>
          <w:b/>
          <w:position w:val="6"/>
        </w:rPr>
        <w:t>[</w:t>
      </w:r>
      <w:r>
        <w:rPr>
          <w:rStyle w:val="FootnoteCharacters"/>
          <w:rStyle w:val="FootnoteReference"/>
        </w:rPr>
        <w:footnoteReference w:id="5"/>
      </w:r>
      <w:r>
        <w:rPr>
          <w:b/>
          <w:position w:val="6"/>
        </w:rPr>
        <w:t>]</w:t>
      </w:r>
      <w:r>
        <w:rPr/>
        <w:t xml:space="preserve">  As discussed in Advice 2057-E, PG&amp;E set rates to recover these costs from all customers because PG&amp;E incurred these costs on behalf of both bundled service customers and direct access customers.</w:t>
      </w:r>
      <w:r>
        <w:rPr>
          <w:b/>
          <w:position w:val="6"/>
        </w:rPr>
        <w:t>[</w:t>
      </w:r>
      <w:r>
        <w:rPr>
          <w:rStyle w:val="FootnoteCharacters"/>
          <w:rStyle w:val="FootnoteReference"/>
        </w:rPr>
        <w:footnoteReference w:id="6"/>
      </w:r>
      <w:r>
        <w:rPr>
          <w:b/>
          <w:position w:val="6"/>
        </w:rPr>
        <w:t>]</w:t>
      </w:r>
      <w:r>
        <w:rPr/>
        <w:t xml:space="preserve">  PG&amp;E has allocated UCSA based on a modified equal cents per kWh allocation which adjusts the UCSA rate based on service voltage and load shape in proportion to the actual commodity prices on each rate schedule and service voltage in the 12-month period ending September 2000.  UCSA will be designed on an equal cents per kWh basis and will not vary by TOU.  UCSA rates filed in this application differ from those filed in Advice 2057-E because the commodity price, which is used as the basis of the allocation, has been revised in this application to reflect the stabilized price for mandatory rate schedules.  PG&amp;E will identify rates for UCSA and ongoing CTC separately in the rate schedule and will combine them into one line item on the bill.  </w:t>
      </w:r>
    </w:p>
    <w:p>
      <w:pPr>
        <w:pStyle w:val="Heading2"/>
        <w:ind w:firstLine="432" w:start="0"/>
        <w:rPr/>
      </w:pPr>
      <w:bookmarkStart w:id="12" w:name="__RefHeading___Toc499515185"/>
      <w:bookmarkEnd w:id="12"/>
      <w:r>
        <w:rPr/>
        <w:t>Distribution</w:t>
      </w:r>
    </w:p>
    <w:p>
      <w:pPr>
        <w:pStyle w:val="Body2"/>
        <w:rPr/>
      </w:pPr>
      <w:r>
        <w:rPr/>
        <w:t>Revenue allocation and rate design methodologies for distribution have, for the most part, been litigated in other proceedings, filed in Advice 2057</w:t>
        <w:noBreakHyphen/>
        <w:t>E and summarized in Appendix 7A.  More extensive changes to distribution revenue allocation and rate design are the subject of Phase 2 of PG&amp;E’s 1999 General Rate Case (GRC) (A.00</w:t>
        <w:noBreakHyphen/>
        <w:t>03</w:t>
        <w:noBreakHyphen/>
        <w:t>014) and are not incorporated in either this application or Advice 2057</w:t>
        <w:noBreakHyphen/>
        <w:t xml:space="preserve">E.  </w:t>
      </w:r>
    </w:p>
    <w:p>
      <w:pPr>
        <w:pStyle w:val="Body2"/>
        <w:rPr/>
      </w:pPr>
      <w:r>
        <w:rPr/>
        <w:t>Distribution rates presented in this application differ slightly from end</w:t>
        <w:noBreakHyphen/>
        <w:t>of</w:t>
        <w:noBreakHyphen/>
        <w:t>freeze rates as filed in Advice 2057</w:t>
        <w:noBreakHyphen/>
        <w:t>E to reflect the addition of UCSA rates, the increased California Alternate Rates for Energy (CARE) discount as discussed in Chapter 2 and the commodity price resulting from mandatory price stabilization.  Specifically, these revisions affect the amount of the CARE discount and the employee discount which affect distribution rates generally.  In addition, tier 1 and tier 2 distribution rates must be revised for the residential class.  For purposes of calculating distribution rates in PG&amp;E’s end-of-freeze tariffs (Advice 2057-E), PG&amp;E used the actual commodity price for Schedule E</w:t>
        <w:noBreakHyphen/>
        <w:t xml:space="preserve">1 for the 12 months ending September 2000, to derive a bundled rate upon which discounts (or tiering) are based.  To design distribution rates for this application, PG&amp;E used the stabilized commodity price to establish the discounts. </w:t>
      </w:r>
    </w:p>
    <w:p>
      <w:pPr>
        <w:pStyle w:val="Heading2"/>
        <w:ind w:firstLine="432" w:start="0"/>
        <w:rPr/>
      </w:pPr>
      <w:bookmarkStart w:id="13" w:name="__RefHeading___Toc499515186"/>
      <w:bookmarkEnd w:id="13"/>
      <w:r>
        <w:rPr/>
        <w:t>Public Purpose Programs</w:t>
      </w:r>
    </w:p>
    <w:p>
      <w:pPr>
        <w:pStyle w:val="Body2"/>
        <w:rPr/>
      </w:pPr>
      <w:r>
        <w:rPr/>
        <w:t>PG&amp;E continues to allocate the Public Purpose Program (PPP) revenue requirement using the methodology adopted in the 1998 Revenue Adjustment Proceeding (RAP) decision and reaffirmed by the PTER proceeding (D.00</w:t>
        <w:noBreakHyphen/>
        <w:t>06</w:t>
        <w:noBreakHyphen/>
        <w:t>034, Ordering Paragraphs 10 and 11).  Under this methodology, the CARE surcharge revenue requirement is allocated on an equal cents per kWh basis.  The remaining PPP revenue requirement is allocated to each rate schedule through the system average percent (SAP) methodology.  Specifically, PG&amp;E applies a factor equal to the proportion of the schedule’s present revenue requirement relative to the total system’s present revenue requirement.</w:t>
      </w:r>
      <w:r>
        <w:rPr>
          <w:b/>
          <w:color w:val="000000"/>
          <w:position w:val="6"/>
        </w:rPr>
        <w:t>[</w:t>
      </w:r>
      <w:r>
        <w:rPr>
          <w:rStyle w:val="FootnoteCharacters"/>
          <w:rStyle w:val="FootnoteReference"/>
        </w:rPr>
        <w:footnoteReference w:id="7"/>
      </w:r>
      <w:r>
        <w:rPr>
          <w:b/>
          <w:color w:val="000000"/>
          <w:position w:val="6"/>
        </w:rPr>
        <w:t>]</w:t>
      </w:r>
      <w:r>
        <w:rPr/>
        <w:t xml:space="preserve">  Because total bills would be different with addition of the UCSA rate, the proposed level of the CARE discount and the stabilized commodity price, the total CARE discount to be funded via the CARE surcharge is revised as part of this application.  As a result, the allocation of PPP to each rate schedule is different than the allocations filed in the end-of-freeze tariffs (i.e., Advice 2057-E).</w:t>
      </w:r>
    </w:p>
    <w:p>
      <w:pPr>
        <w:pStyle w:val="Heading2"/>
        <w:ind w:firstLine="432" w:start="0"/>
        <w:rPr/>
      </w:pPr>
      <w:bookmarkStart w:id="14" w:name="__RefHeading___Toc499515187"/>
      <w:bookmarkEnd w:id="14"/>
      <w:r>
        <w:rPr/>
        <w:t>Ongoing Competition Transition Charges</w:t>
      </w:r>
    </w:p>
    <w:p>
      <w:pPr>
        <w:pStyle w:val="Body2"/>
        <w:rPr/>
      </w:pPr>
      <w:r>
        <w:rPr/>
        <w:t>The allocation of the ongoing CTC revenue requirement was addressed in the PTER Phase 2 Decision.  Decision 00</w:t>
        <w:noBreakHyphen/>
        <w:t>06</w:t>
        <w:noBreakHyphen/>
        <w:t>034 adopts the top 100</w:t>
        <w:noBreakHyphen/>
        <w:t>hour methodology for allocating transition costs and directed PG&amp;E to file the allocation results based on this methodology in Phase 2 of its 1999 GRC.  In Advice 2057-E, PG&amp;E has proposed to apply the same methodology.  In general, rates for ongoing CTC as proposed for end of freeze tariffs and as proposed for this application would be the same.  However, as a result of the addition of the UCSA rate and the revised commodity price stemming from mandatory price stabilization, ongoing CTC rates used to establish the residential tier differential are revised.</w:t>
      </w:r>
    </w:p>
    <w:p>
      <w:pPr>
        <w:pStyle w:val="Heading2"/>
        <w:ind w:firstLine="432" w:start="0"/>
        <w:rPr/>
      </w:pPr>
      <w:bookmarkStart w:id="15" w:name="__RefHeading___Toc499515188"/>
      <w:bookmarkEnd w:id="15"/>
      <w:r>
        <w:rPr/>
        <w:t>Schedule A-RTP</w:t>
      </w:r>
    </w:p>
    <w:p>
      <w:pPr>
        <w:pStyle w:val="Body2"/>
        <w:rPr/>
      </w:pPr>
      <w:r>
        <w:rPr/>
        <w:t>PG&amp;E proposes that Real-Time Pricing (RTP) Schedule A</w:t>
        <w:noBreakHyphen/>
        <w:t>RTP be eliminated.  Due to the high commodity prices experienced during the summer of 2000, many Schedule A</w:t>
        <w:noBreakHyphen/>
        <w:t>RTP participants requested transfers to Schedule E</w:t>
        <w:noBreakHyphen/>
        <w:t>19 or E</w:t>
        <w:noBreakHyphen/>
        <w:t>20 at their annual contract anniversary date.  Consequently, PG&amp;E expects there may be little customer interest in Schedule A</w:t>
        <w:noBreakHyphen/>
        <w:t>RTP in the post-freeze period.</w:t>
      </w:r>
    </w:p>
    <w:p>
      <w:pPr>
        <w:pStyle w:val="Body2"/>
        <w:rPr/>
      </w:pPr>
      <w:r>
        <w:rPr/>
        <w:t>In addition, Schedule A</w:t>
        <w:noBreakHyphen/>
        <w:t>RTP reflects pricing objectives which are no longer applicable under electric industry restructuring.  For example, the outdated hourly pricing algorithm under Schedule A</w:t>
        <w:noBreakHyphen/>
        <w:t>RTP was frozen by AB 1890 and sends hourly price signals that conflict with hourly PX price signals.  The Commission has already expressed just this concern, indicating that old RTP programs may send price signals inconsistent with those of the Power Exchange.</w:t>
      </w:r>
      <w:r>
        <w:rPr>
          <w:b/>
          <w:color w:val="000000"/>
          <w:position w:val="6"/>
        </w:rPr>
        <w:t>[</w:t>
      </w:r>
      <w:r>
        <w:rPr>
          <w:rStyle w:val="FootnoteCharacters"/>
          <w:rStyle w:val="FootnoteReference"/>
        </w:rPr>
        <w:footnoteReference w:id="8"/>
      </w:r>
      <w:r>
        <w:rPr>
          <w:b/>
          <w:color w:val="000000"/>
          <w:position w:val="6"/>
        </w:rPr>
        <w:t>]</w:t>
      </w:r>
      <w:r>
        <w:rPr/>
        <w:t xml:space="preserve">  (D.96</w:t>
        <w:noBreakHyphen/>
        <w:t>08</w:t>
        <w:noBreakHyphen/>
        <w:t>025, mimeo, pp. 73</w:t>
        <w:noBreakHyphen/>
        <w:t xml:space="preserve">75)  </w:t>
      </w:r>
    </w:p>
    <w:p>
      <w:pPr>
        <w:pStyle w:val="Body2"/>
        <w:rPr/>
      </w:pPr>
      <w:r>
        <w:rPr/>
        <w:t>Finally, Schedule A</w:t>
        <w:noBreakHyphen/>
        <w:t>RTP historically has required a high level of billing and infrastructure support that PG&amp;E believes is simply not appropriate for such an outdated program.  For reasons similar to those noted above, PG&amp;E similarly proposed eliminating Schedule A</w:t>
        <w:noBreakHyphen/>
        <w:t xml:space="preserve">RTP in the post-freeze period in its pending 1999 GRC Phase 2 proceeding. </w:t>
      </w:r>
    </w:p>
    <w:p>
      <w:pPr>
        <w:pStyle w:val="Heading2"/>
        <w:ind w:firstLine="432" w:start="0"/>
        <w:rPr/>
      </w:pPr>
      <w:bookmarkStart w:id="16" w:name="__RefHeading___Toc499515189"/>
      <w:bookmarkEnd w:id="16"/>
      <w:r>
        <w:rPr/>
        <w:t>Revenue Allocation Results</w:t>
      </w:r>
    </w:p>
    <w:p>
      <w:pPr>
        <w:pStyle w:val="Body2"/>
        <w:rPr/>
      </w:pPr>
      <w:r>
        <w:rPr/>
        <w:t xml:space="preserve">Table 7-1 presents revenue allocation results for transmission, reliability services, PPP, distribution, nuclear decommissioning, ongoing CTC, UCSA rate, commodity, Fixed Transition Amount (FTA) and the Rate Reduction Bond Memorandum Account (RRBMA) rate by customer class and rate schedule.  </w:t>
      </w:r>
    </w:p>
    <w:p>
      <w:pPr>
        <w:pStyle w:val="Body2"/>
        <w:rPr/>
      </w:pPr>
      <w:r>
        <w:rPr/>
        <w:t>Allocations for distribution, ongoing CTC, UCSA, PPP, nuclear decommissioning, FTA and RRBMA rates are set in accordance the methods set forth in Advice 2057-E which are summarized in Appendix 7A and modified by the changes described above.  To obtain a total equivalent bundled rate, PG&amp;E also included the rate stabilization initial price of 6.5 cents per kWh varied by service voltage and load shape as discussed above for mandatory rate schedules.  Proposed noncommodity rates are provided in Appendix 7B.  Currently effective rates may be viewed at PG&amp;E’s web cite (pge.com) by clicking on the Web Tariff Book.</w:t>
      </w:r>
    </w:p>
    <w:p>
      <w:pPr>
        <w:pStyle w:val="Heading2"/>
        <w:ind w:firstLine="432" w:start="0"/>
        <w:rPr/>
      </w:pPr>
      <w:bookmarkStart w:id="17" w:name="__RefHeading___Toc499515190"/>
      <w:bookmarkEnd w:id="17"/>
      <w:r>
        <w:rPr/>
        <w:t>Proposed Rate Components</w:t>
      </w:r>
    </w:p>
    <w:p>
      <w:pPr>
        <w:pStyle w:val="Body2"/>
        <w:rPr/>
      </w:pPr>
      <w:r>
        <w:rPr/>
        <w:t>Table 7-2 shows PG&amp;E’s proposed rate components used to revise Preliminary Statement Part I—</w:t>
      </w:r>
      <w:r>
        <w:rPr>
          <w:i/>
        </w:rPr>
        <w:t>Rate Schedule Summary</w:t>
      </w:r>
      <w:r>
        <w:rPr/>
        <w:t>, as described in Chapter 6.</w:t>
      </w:r>
      <w:r>
        <w:rPr>
          <w:b/>
          <w:color w:val="000000"/>
          <w:position w:val="6"/>
        </w:rPr>
        <w:t>[</w:t>
      </w:r>
      <w:r>
        <w:rPr>
          <w:rStyle w:val="FootnoteCharacters"/>
          <w:rStyle w:val="FootnoteReference"/>
        </w:rPr>
        <w:footnoteReference w:id="9"/>
      </w:r>
      <w:r>
        <w:rPr>
          <w:b/>
          <w:color w:val="000000"/>
          <w:position w:val="6"/>
        </w:rPr>
        <w:t>]</w:t>
      </w:r>
    </w:p>
    <w:p>
      <w:pPr>
        <w:pStyle w:val="Heading1"/>
        <w:ind w:firstLine="432" w:start="0"/>
        <w:rPr/>
      </w:pPr>
      <w:bookmarkStart w:id="18" w:name="__RefHeading___Toc499515191"/>
      <w:bookmarkEnd w:id="18"/>
      <w:r>
        <w:rPr/>
        <w:t>Bill and Tariff Requirements</w:t>
      </w:r>
    </w:p>
    <w:p>
      <w:pPr>
        <w:pStyle w:val="Body1"/>
        <w:rPr/>
      </w:pPr>
      <w:r>
        <w:rPr/>
        <w:t>The incremental changes needed to the rate schedules for purposes of implementing PG&amp;E’s proposal in this application are minimal.  Starting with the proposed end-of-freeze rate schedules filed in Advice 2057-E and described in Appendix 7A, only the following changes will be required:</w:t>
      </w:r>
    </w:p>
    <w:p>
      <w:pPr>
        <w:pStyle w:val="Bullet1"/>
        <w:numPr>
          <w:ilvl w:val="0"/>
          <w:numId w:val="2"/>
        </w:numPr>
        <w:rPr/>
      </w:pPr>
      <w:r>
        <w:rPr/>
        <w:t>Schedule PX will be revised to address the new DPRA and the development of stabilized prices for commodity.</w:t>
      </w:r>
    </w:p>
    <w:p>
      <w:pPr>
        <w:pStyle w:val="Bullet1"/>
        <w:numPr>
          <w:ilvl w:val="0"/>
          <w:numId w:val="2"/>
        </w:numPr>
        <w:rPr/>
      </w:pPr>
      <w:r>
        <w:rPr/>
        <w:t xml:space="preserve">Billing descriptions for direct access customers taking service on mandatory rate schedules will be revised to add the Direct Access Rate Stabilization Adjustment. </w:t>
      </w:r>
    </w:p>
    <w:p>
      <w:pPr>
        <w:pStyle w:val="Body1"/>
        <w:rPr/>
      </w:pPr>
      <w:r>
        <w:rPr/>
        <w:t>Bills will also be revised in two ways.  First, commodity charges for bundled service customers will be moved to a separate page.  Second, bills will be modified by addition of the following footnote where the commodity price is subject to rate stabilization:</w:t>
      </w:r>
    </w:p>
    <w:p>
      <w:pPr>
        <w:pStyle w:val="Quotation1"/>
        <w:rPr/>
      </w:pPr>
      <w:r>
        <w:rPr/>
        <w:t>This rate is an average set to minimize changes over the year and is not equal to the actual energy price this month.</w:t>
      </w:r>
    </w:p>
    <w:p>
      <w:pPr>
        <w:pStyle w:val="Body1"/>
        <w:rPr/>
      </w:pPr>
      <w:r>
        <w:rPr/>
        <w:t xml:space="preserve">Revised rate schedules and a sample residential bill will be provided by December 8, 2001. </w:t>
      </w:r>
    </w:p>
    <w:p>
      <w:pPr>
        <w:pStyle w:val="Heading1"/>
        <w:ind w:firstLine="432" w:start="0"/>
        <w:rPr/>
      </w:pPr>
      <w:bookmarkStart w:id="19" w:name="__RefHeading___Toc499515192"/>
      <w:bookmarkEnd w:id="19"/>
      <w:r>
        <w:rPr/>
        <w:t>Conclusion</w:t>
      </w:r>
    </w:p>
    <w:p>
      <w:pPr>
        <w:pStyle w:val="Body1"/>
        <w:rPr/>
      </w:pPr>
      <w:r>
        <w:rPr/>
        <w:t>In this chapter, PG&amp;E requests that the Commission approve the following proposals:</w:t>
      </w:r>
    </w:p>
    <w:p>
      <w:pPr>
        <w:pStyle w:val="Bullet1"/>
        <w:numPr>
          <w:ilvl w:val="0"/>
          <w:numId w:val="2"/>
        </w:numPr>
        <w:rPr/>
      </w:pPr>
      <w:r>
        <w:rPr/>
        <w:t>mandatory and optional rate stabilization for commodity service;</w:t>
      </w:r>
    </w:p>
    <w:p>
      <w:pPr>
        <w:pStyle w:val="Bullet1"/>
        <w:numPr>
          <w:ilvl w:val="0"/>
          <w:numId w:val="2"/>
        </w:numPr>
        <w:rPr/>
      </w:pPr>
      <w:r>
        <w:rPr/>
        <w:t>the proposed rates by function provided in Appendix 7B established for distribution, ongoing CTC, UCSA, RRBMA, nuclear decommissioning, and PPP as described in Appendix 7A and modified by this chapter;</w:t>
      </w:r>
    </w:p>
    <w:p>
      <w:pPr>
        <w:pStyle w:val="Bullet1"/>
        <w:numPr>
          <w:ilvl w:val="0"/>
          <w:numId w:val="2"/>
        </w:numPr>
        <w:rPr/>
      </w:pPr>
      <w:r>
        <w:rPr/>
        <w:t xml:space="preserve">the balancing account rate components provided in this chapter; and </w:t>
      </w:r>
    </w:p>
    <w:p>
      <w:pPr>
        <w:pStyle w:val="Bullet1"/>
        <w:numPr>
          <w:ilvl w:val="0"/>
          <w:numId w:val="2"/>
        </w:numPr>
        <w:spacing w:before="0" w:after="120"/>
        <w:rPr/>
      </w:pPr>
      <w:r>
        <w:rPr/>
        <w:t>the proposed bill and tariff revisions as described in Appendix 7A and modified by this chapter.</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21</w:t>
    </w:r>
    <w:r>
      <w:rPr/>
      <w:fldChar w:fldCharType="end"/>
    </w:r>
    <w:r>
      <w:rPr/>
      <w:t>-</w:t>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fldChar w:fldCharType="begin"/>
    </w:r>
    <w:r>
      <w:rPr/>
      <w:instrText xml:space="preserve"> SEQ chap \* ARABIC </w:instrText>
    </w:r>
    <w:r>
      <w:rPr/>
      <w:fldChar w:fldCharType="separate"/>
    </w:r>
    <w:r>
      <w:rPr/>
      <w:t>21</w:t>
    </w:r>
    <w:r>
      <w:rPr/>
      <w:fldChar w:fldCharType="end"/>
    </w:r>
    <w:r>
      <w:rPr/>
      <w:t>-</w:t>
    </w:r>
    <w:r>
      <w:rPr/>
      <w:fldChar w:fldCharType="begin"/>
    </w:r>
    <w:r>
      <w:rPr/>
      <w:instrText xml:space="preserve"> PAGE </w:instrText>
    </w:r>
    <w:r>
      <w:rPr/>
      <w:fldChar w:fldCharType="separate"/>
    </w:r>
    <w:r>
      <w:rPr/>
      <w:t>10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The actual price is the schedule-average price that would be determined absent rate stabilization.  For example, if the actual price for Schedules A</w:t>
        <w:noBreakHyphen/>
        <w:t>1, E</w:t>
        <w:noBreakHyphen/>
        <w:t>1 and AG</w:t>
        <w:noBreakHyphen/>
        <w:t>1a were 8, 10 and 12 cents per kWh respectively, and the initial price was 6.5 cents per kWh, the stabilized price for Schedules A</w:t>
        <w:noBreakHyphen/>
        <w:t>1, E</w:t>
        <w:noBreakHyphen/>
        <w:t>1 and AG</w:t>
        <w:noBreakHyphen/>
        <w:t>1a would be 5.2, 6.5 and 7.8 cents per kWh, respectively.</w:t>
      </w:r>
    </w:p>
  </w:footnote>
  <w:footnote w:id="3">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For example, for Schedule E</w:t>
        <w:noBreakHyphen/>
        <w:t>7, if (1) the actual price was 8 cents per kWh, (2) the stabilized price for Schedule E</w:t>
        <w:noBreakHyphen/>
        <w:t>7 were 6.4 cents per kWh, and (3) the actual peak and off-peak TOU prices were 16 cents and 5 cents per kWh, respectively, the stabilized prices would be 20 percent lower, or 12.8 and 4 cents per kWh in the peak and off-peak, respectively.</w:t>
      </w:r>
    </w:p>
  </w:footnote>
  <w:footnote w:id="4">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Customers taking service under the hourly price option will receive the benefit and pay the cost of stabilized prices if they are served under a mandatory rate schedule.</w:t>
      </w:r>
    </w:p>
  </w:footnote>
  <w:footnote w:id="5">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UCSA rates will be revised based on the final decision in the hydro and Diablo Canyon applications.</w:t>
      </w:r>
    </w:p>
  </w:footnote>
  <w:footnote w:id="6">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Bundled service customers received the benefit of frozen rates during the rate freeze period which meant that they did not pay the full cost of acquiring commodity.  Direct access customers received credits that were based on the full avoided cost associated with PG&amp;E not purchasing energy for these customers, even if this meant that a customer would get a negative bill.  The UCSA is nonbypassable.</w:t>
      </w:r>
    </w:p>
  </w:footnote>
  <w:footnote w:id="7">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 xml:space="preserve">PG&amp;E calculates customer class and rate schedule revenue requirements for the year 2001 by summing the product of the rates at June 10, 1996, levels and the 2001 test-year forecasted billing determinants for each rate schedule.  </w:t>
      </w:r>
    </w:p>
  </w:footnote>
  <w:footnote w:id="8">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 xml:space="preserve">Variable prices in the current A-RTP contain an adjustment for gas price that unnecessarily constrains the market price.  Further, fixed adders which reflect generation costs, among others, are no longer necessary as the market price itself appropriately sets the price signal. </w:t>
      </w:r>
    </w:p>
  </w:footnote>
  <w:footnote w:id="9">
    <w:p>
      <w:pPr>
        <w:pStyle w:val="FootnoteText"/>
        <w:keepLines/>
        <w:spacing w:lineRule="exact" w:line="240" w:before="60" w:after="60"/>
        <w:ind w:hanging="720" w:start="720" w:end="0"/>
        <w:rPr/>
      </w:pPr>
      <w:r>
        <w:rPr>
          <w:rStyle w:val="FootnoteCharacters"/>
        </w:rPr>
        <w:footnoteRef/>
      </w:r>
      <w:r>
        <w:rPr>
          <w:b/>
          <w:position w:val="6"/>
        </w:rPr>
        <w:t>[</w:t>
      </w:r>
      <w:r>
        <w:rPr>
          <w:rStyle w:val="FootnoteCharacters"/>
        </w:rPr>
        <w:t>?</w:t>
      </w:r>
      <w:r>
        <w:rPr>
          <w:b/>
          <w:position w:val="6"/>
        </w:rPr>
        <w:t>]</w:t>
      </w:r>
      <w:r>
        <w:rPr/>
        <w:t xml:space="preserve"> </w:t>
        <w:tab/>
        <w:t xml:space="preserve">PG&amp;E has two other rate components:  the CPUC Fee and the FTA charge.  PG&amp;E does not propose changes to these rate components in this application.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864" w:hanging="432"/>
      </w:pPr>
    </w:lvl>
    <w:lvl w:ilvl="2">
      <w:start w:val="1"/>
      <w:pStyle w:val="Heading3"/>
      <w:numFmt w:val="lowerLetter"/>
      <w:lvlText w:val="%3."/>
      <w:lvlJc w:val="start"/>
      <w:pPr>
        <w:tabs>
          <w:tab w:val="num" w:pos="432"/>
        </w:tabs>
        <w:ind w:start="1296" w:hanging="432"/>
      </w:pPr>
    </w:lvl>
    <w:lvl w:ilvl="3">
      <w:start w:val="1"/>
      <w:pStyle w:val="Heading4"/>
      <w:numFmt w:val="decimal"/>
      <w:lvlText w:val="(%4)"/>
      <w:lvlJc w:val="start"/>
      <w:pPr>
        <w:tabs>
          <w:tab w:val="num" w:pos="432"/>
        </w:tabs>
        <w:ind w:start="1728" w:hanging="432"/>
      </w:pPr>
    </w:lvl>
    <w:lvl w:ilvl="4">
      <w:start w:val="1"/>
      <w:pStyle w:val="Heading5"/>
      <w:numFmt w:val="lowerLetter"/>
      <w:lvlText w:val="(%5)"/>
      <w:lvlJc w:val="start"/>
      <w:pPr>
        <w:tabs>
          <w:tab w:val="num" w:pos="432"/>
        </w:tabs>
        <w:ind w:start="2160" w:hanging="432"/>
      </w:pPr>
    </w:lvl>
    <w:lvl w:ilvl="5">
      <w:start w:val="1"/>
      <w:pStyle w:val="Heading6"/>
      <w:numFmt w:val="upperRoman"/>
      <w:lvlText w:val="(%6)"/>
      <w:lvlJc w:val="start"/>
      <w:pPr>
        <w:tabs>
          <w:tab w:val="num" w:pos="720"/>
        </w:tabs>
        <w:ind w:start="2592" w:hanging="720"/>
      </w:pPr>
    </w:lvl>
    <w:lvl w:ilvl="6">
      <w:start w:val="1"/>
      <w:pStyle w:val="Heading7"/>
      <w:numFmt w:val="upperLetter"/>
      <w:lvlText w:val="(%7)"/>
      <w:lvlJc w:val="start"/>
      <w:pPr>
        <w:tabs>
          <w:tab w:val="num" w:pos="720"/>
        </w:tabs>
        <w:ind w:start="3024" w:hanging="720"/>
      </w:pPr>
    </w:lvl>
    <w:lvl w:ilvl="7">
      <w:start w:val="1"/>
      <w:pStyle w:val="Heading8"/>
      <w:numFmt w:val="lowerRoman"/>
      <w:lvlText w:val="(%8)"/>
      <w:lvlJc w:val="start"/>
      <w:pPr>
        <w:tabs>
          <w:tab w:val="num" w:pos="720"/>
        </w:tabs>
        <w:ind w:start="3456" w:hanging="720"/>
      </w:pPr>
    </w:lvl>
    <w:lvl w:ilvl="8">
      <w:start w:val="1"/>
      <w:pStyle w:val="Heading9"/>
      <w:numFmt w:val="lowerLetter"/>
      <w:lvlText w:val="(%9)"/>
      <w:lvlJc w:val="start"/>
      <w:pPr>
        <w:tabs>
          <w:tab w:val="num" w:pos="720"/>
        </w:tabs>
        <w:ind w:start="3888" w:hanging="720"/>
      </w:pPr>
    </w:lvl>
  </w:abstractNum>
  <w:abstractNum w:abstractNumId="2">
    <w:lvl w:ilvl="0">
      <w:numFmt w:val="bullet"/>
      <w:lvlText w:val=""/>
      <w:lvlJc w:val="start"/>
      <w:pPr>
        <w:tabs>
          <w:tab w:val="num" w:pos="432"/>
        </w:tabs>
        <w:ind w:start="864" w:hanging="432"/>
      </w:pPr>
      <w:rPr>
        <w:rFonts w:ascii="Symbol" w:hAnsi="Symbol" w:cs="Symbol" w:hint="default"/>
        <w:sz w:val="20"/>
        <w:color w:val="000000"/>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overflowPunct w:val="false"/>
      <w:autoSpaceDE w:val="false"/>
      <w:bidi w:val="0"/>
      <w:spacing w:lineRule="exact" w:line="400"/>
      <w:ind w:firstLine="432" w:start="0" w:end="0"/>
      <w:textAlignment w:val="baseline"/>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tabs>
        <w:tab w:val="clear" w:pos="720"/>
        <w:tab w:val="left" w:pos="432" w:leader="none"/>
      </w:tabs>
      <w:spacing w:before="120" w:after="0"/>
      <w:outlineLvl w:val="0"/>
    </w:pPr>
    <w:rPr>
      <w:b/>
      <w:sz w:val="28"/>
    </w:rPr>
  </w:style>
  <w:style w:type="paragraph" w:styleId="Heading2">
    <w:name w:val="heading 2"/>
    <w:basedOn w:val="Normal"/>
    <w:next w:val="Body2"/>
    <w:qFormat/>
    <w:pPr>
      <w:keepNext w:val="true"/>
      <w:numPr>
        <w:ilvl w:val="1"/>
        <w:numId w:val="1"/>
      </w:numPr>
      <w:tabs>
        <w:tab w:val="clear" w:pos="720"/>
        <w:tab w:val="left" w:pos="864" w:leader="none"/>
      </w:tabs>
      <w:spacing w:before="120" w:after="0"/>
      <w:outlineLvl w:val="1"/>
    </w:pPr>
    <w:rPr>
      <w:b/>
      <w:sz w:val="26"/>
    </w:rPr>
  </w:style>
  <w:style w:type="paragraph" w:styleId="Heading3">
    <w:name w:val="heading 3"/>
    <w:basedOn w:val="Heading2"/>
    <w:next w:val="Body3"/>
    <w:qFormat/>
    <w:pPr>
      <w:numPr>
        <w:ilvl w:val="2"/>
        <w:numId w:val="1"/>
      </w:numPr>
      <w:tabs>
        <w:tab w:val="clear" w:pos="864"/>
        <w:tab w:val="left" w:pos="1296" w:leader="none"/>
      </w:tabs>
      <w:spacing w:before="60" w:after="0"/>
      <w:outlineLvl w:val="2"/>
    </w:pPr>
    <w:rPr>
      <w:sz w:val="23"/>
    </w:rPr>
  </w:style>
  <w:style w:type="paragraph" w:styleId="Heading4">
    <w:name w:val="heading 4"/>
    <w:basedOn w:val="Heading3"/>
    <w:next w:val="Body4"/>
    <w:qFormat/>
    <w:pPr>
      <w:numPr>
        <w:ilvl w:val="3"/>
        <w:numId w:val="1"/>
      </w:numPr>
      <w:tabs>
        <w:tab w:val="clear" w:pos="1296"/>
        <w:tab w:val="left" w:pos="1728" w:leader="none"/>
      </w:tabs>
      <w:outlineLvl w:val="3"/>
    </w:pPr>
    <w:rPr/>
  </w:style>
  <w:style w:type="paragraph" w:styleId="Heading5">
    <w:name w:val="heading 5"/>
    <w:basedOn w:val="Heading4"/>
    <w:next w:val="Body5"/>
    <w:qFormat/>
    <w:pPr>
      <w:numPr>
        <w:ilvl w:val="4"/>
        <w:numId w:val="1"/>
      </w:numPr>
      <w:tabs>
        <w:tab w:val="clear" w:pos="1728"/>
        <w:tab w:val="left" w:pos="2160" w:leader="none"/>
      </w:tabs>
      <w:outlineLvl w:val="4"/>
    </w:pPr>
    <w:rPr/>
  </w:style>
  <w:style w:type="paragraph" w:styleId="Heading6">
    <w:name w:val="heading 6"/>
    <w:basedOn w:val="Heading5"/>
    <w:next w:val="Body6"/>
    <w:qFormat/>
    <w:pPr>
      <w:numPr>
        <w:ilvl w:val="5"/>
        <w:numId w:val="1"/>
      </w:numPr>
      <w:tabs>
        <w:tab w:val="clear" w:pos="2160"/>
      </w:tabs>
      <w:ind w:hanging="432" w:start="0" w:end="0"/>
      <w:outlineLvl w:val="5"/>
    </w:pPr>
    <w:rPr/>
  </w:style>
  <w:style w:type="paragraph" w:styleId="Heading7">
    <w:name w:val="heading 7"/>
    <w:basedOn w:val="Heading6"/>
    <w:next w:val="Body7"/>
    <w:qFormat/>
    <w:pPr>
      <w:numPr>
        <w:ilvl w:val="6"/>
        <w:numId w:val="1"/>
      </w:numPr>
      <w:tabs>
        <w:tab w:val="left" w:pos="3060" w:leader="none"/>
      </w:tabs>
      <w:ind w:hanging="432" w:start="0" w:end="0"/>
      <w:outlineLvl w:val="6"/>
    </w:pPr>
    <w:rPr/>
  </w:style>
  <w:style w:type="paragraph" w:styleId="Heading8">
    <w:name w:val="heading 8"/>
    <w:basedOn w:val="Heading7"/>
    <w:next w:val="Body8"/>
    <w:qFormat/>
    <w:pPr>
      <w:numPr>
        <w:ilvl w:val="7"/>
        <w:numId w:val="1"/>
      </w:numPr>
      <w:tabs>
        <w:tab w:val="clear" w:pos="3060"/>
        <w:tab w:val="left" w:pos="3510" w:leader="none"/>
      </w:tabs>
      <w:ind w:hanging="432" w:start="0" w:end="0"/>
      <w:outlineLvl w:val="7"/>
    </w:pPr>
    <w:rPr>
      <w:i/>
    </w:rPr>
  </w:style>
  <w:style w:type="paragraph" w:styleId="Heading9">
    <w:name w:val="heading 9"/>
    <w:basedOn w:val="Heading8"/>
    <w:next w:val="Body9"/>
    <w:qFormat/>
    <w:pPr>
      <w:numPr>
        <w:ilvl w:val="8"/>
        <w:numId w:val="1"/>
      </w:numPr>
      <w:tabs>
        <w:tab w:val="clear" w:pos="3510"/>
        <w:tab w:val="left" w:pos="360" w:leader="none"/>
        <w:tab w:val="left" w:pos="3960" w:leader="none"/>
      </w:tabs>
      <w:ind w:hanging="432" w:start="0" w:end="0"/>
      <w:outlineLvl w:val="8"/>
    </w:pPr>
    <w:rPr/>
  </w:style>
  <w:style w:type="character" w:styleId="WW8NumSt2z0">
    <w:name w:val="WW8NumSt2z0"/>
    <w:qFormat/>
    <w:rPr>
      <w:rFonts w:ascii="Symbol" w:hAnsi="Symbol" w:cs="Symbol"/>
      <w:color w:val="000000"/>
      <w:sz w:val="20"/>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color w:val="auto"/>
      <w:spacing w:val="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color w:val="auto"/>
      <w:position w:val="0"/>
      <w:sz w:val="20"/>
      <w:sz w:val="20"/>
      <w:vertAlign w:val="baselin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Body2">
    <w:name w:val="Body 2"/>
    <w:basedOn w:val="Normal"/>
    <w:qFormat/>
    <w:pPr>
      <w:ind w:firstLine="432" w:start="864" w:end="0"/>
    </w:pPr>
    <w:rPr>
      <w:color w:val="000000"/>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Body6">
    <w:name w:val="Body 6"/>
    <w:basedOn w:val="Body5"/>
    <w:qFormat/>
    <w:pPr>
      <w:ind w:firstLine="432" w:start="2592" w:end="0"/>
    </w:pPr>
    <w:rPr/>
  </w:style>
  <w:style w:type="paragraph" w:styleId="Body7">
    <w:name w:val="Body 7"/>
    <w:basedOn w:val="Body6"/>
    <w:qFormat/>
    <w:pPr>
      <w:ind w:firstLine="432" w:start="3024" w:end="0"/>
    </w:pPr>
    <w:rPr/>
  </w:style>
  <w:style w:type="paragraph" w:styleId="Body8">
    <w:name w:val="Body 8"/>
    <w:basedOn w:val="Body7"/>
    <w:qFormat/>
    <w:pPr>
      <w:ind w:firstLine="432" w:start="3456" w:end="0"/>
    </w:pPr>
    <w:rPr/>
  </w:style>
  <w:style w:type="paragraph" w:styleId="Body9">
    <w:name w:val="Body 9"/>
    <w:basedOn w:val="Body8"/>
    <w:qFormat/>
    <w:pPr>
      <w:ind w:firstLine="432" w:start="3888"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Bullet0">
    <w:name w:val="Bullet 0"/>
    <w:basedOn w:val="Normal"/>
    <w:qFormat/>
    <w:pPr>
      <w:numPr>
        <w:ilvl w:val="0"/>
        <w:numId w:val="3"/>
      </w:numPr>
      <w:spacing w:before="0" w:after="120"/>
      <w:ind w:hanging="432" w:start="432" w:end="0"/>
    </w:pPr>
    <w:rPr/>
  </w:style>
  <w:style w:type="paragraph" w:styleId="Bullet1">
    <w:name w:val="Bullet 1"/>
    <w:basedOn w:val="Bullet0"/>
    <w:qFormat/>
    <w:pPr>
      <w:ind w:hanging="432" w:start="864" w:end="0"/>
    </w:pPr>
    <w:rPr/>
  </w:style>
  <w:style w:type="paragraph" w:styleId="Bullet2">
    <w:name w:val="Bullet 2"/>
    <w:basedOn w:val="Bullet1"/>
    <w:qFormat/>
    <w:pPr>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000000"/>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000000"/>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overflowPunct w:val="false"/>
      <w:autoSpaceDE w:val="false"/>
      <w:bidi w:val="0"/>
      <w:spacing w:lineRule="exact" w:line="240"/>
      <w:jc w:val="end"/>
      <w:textAlignment w:val="baseline"/>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ullet9">
    <w:name w:val="Bullet 9"/>
    <w:basedOn w:val="Bullet8"/>
    <w:qFormat/>
    <w:pPr>
      <w:ind w:hanging="432" w:start="4320"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overflowPunct w:val="false"/>
      <w:autoSpaceDE w:val="false"/>
      <w:bidi w:val="0"/>
      <w:spacing w:lineRule="exact" w:line="560" w:before="3000" w:after="0"/>
      <w:jc w:val="center"/>
      <w:textAlignment w:val="baseline"/>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sz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000000"/>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2000-11-22T18:53:00Z</dcterms:created>
  <dc:creator>Patricia S. Didero</dc:creator>
  <dc:description/>
  <dc:language>en-CA</dc:language>
  <cp:lastModifiedBy>Janice Frazier-Hampton</cp:lastModifiedBy>
  <cp:lastPrinted>2000-11-22T09:50:00Z</cp:lastPrinted>
  <dcterms:modified xsi:type="dcterms:W3CDTF">2000-11-22T18:53:00Z</dcterms:modified>
  <cp:revision>2</cp:revision>
  <dc:subject/>
  <dc:title> TITLE </dc:title>
</cp:coreProperties>
</file>