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5.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BALANCING ACCOUNT MECHANISMS AND</w:t>
        <w:br/>
        <w:t xml:space="preserve">REVENUE REQUIREMENTS </w:t>
        <w:br/>
      </w:r>
    </w:p>
    <w:p>
      <w:pPr>
        <w:sectPr>
          <w:headerReference w:type="default" r:id="rId2"/>
          <w:type w:val="nextPage"/>
          <w:pgSz w:w="12240" w:h="15840"/>
          <w:pgMar w:left="1440" w:right="1440" w:gutter="360" w:header="720" w:top="1008" w:footer="0" w:bottom="720"/>
          <w:lnNumType w:countBy="1" w:restart="newPage" w:distance="283"/>
          <w:pgNumType w:fmt="decimal"/>
          <w:formProt w:val="false"/>
          <w:textDirection w:val="lrTb"/>
          <w:docGrid w:type="default" w:linePitch="360" w:charSpace="0"/>
        </w:sectPr>
        <w:pStyle w:val="CoverTitle"/>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BALANCING ACCOUNT MECHANISMS AND</w:t>
        <w:br/>
        <w:t>REVENUE REQUIREMENTS</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cs="Times New Roman"/>
              <w:szCs w:val="24"/>
              <w:lang w:val="en-CA" w:eastAsia="en-CA"/>
            </w:rPr>
          </w:pPr>
          <w:r>
            <w:fldChar w:fldCharType="begin"/>
          </w:r>
          <w:r>
            <w:rPr>
              <w:szCs w:val="28"/>
              <w:lang w:val="en-CA" w:eastAsia="en-CA"/>
            </w:rPr>
            <w:instrText xml:space="preserve"> TOC \o "1-4" \s chap </w:instrText>
          </w:r>
          <w:r>
            <w:rPr>
              <w:szCs w:val="28"/>
              <w:lang w:val="en-CA" w:eastAsia="en-CA"/>
            </w:rPr>
            <w:fldChar w:fldCharType="separate"/>
          </w:r>
          <w:r>
            <w:rPr>
              <w:szCs w:val="28"/>
              <w:lang w:val="en-CA" w:eastAsia="en-CA"/>
            </w:rPr>
            <w:t>A.</w:t>
          </w:r>
          <w:r>
            <w:rPr>
              <w:rFonts w:cs="Times New Roman" w:ascii="Times New Roman" w:hAnsi="Times New Roman"/>
              <w:szCs w:val="24"/>
              <w:lang w:val="en-CA" w:eastAsia="en-CA"/>
            </w:rPr>
            <w:tab/>
          </w:r>
          <w:r>
            <w:rPr>
              <w:szCs w:val="28"/>
              <w:lang w:val="en-CA" w:eastAsia="en-CA"/>
            </w:rPr>
            <w:t>Introduction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2</w:t>
          </w:r>
          <w:r>
            <w:rPr>
              <w:lang w:val="en-CA" w:eastAsia="en-CA"/>
            </w:rPr>
            <w:fldChar w:fldCharType="end"/>
          </w:r>
          <w:r>
            <w:rPr>
              <w:lang w:val="en-CA" w:eastAsia="en-CA"/>
            </w:rPr>
            <w:t>-</w:t>
          </w:r>
          <w:hyperlink w:anchor="__RefHeading___Toc499520060">
            <w:r>
              <w:rPr>
                <w:rStyle w:val="IndexLink"/>
                <w:lang w:val="en-CA" w:eastAsia="en-CA"/>
              </w:rPr>
              <w:t>1</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B.</w:t>
          </w:r>
          <w:r>
            <w:rPr>
              <w:rFonts w:cs="Times New Roman" w:ascii="Times New Roman" w:hAnsi="Times New Roman"/>
              <w:szCs w:val="24"/>
              <w:lang w:val="en-CA" w:eastAsia="en-CA"/>
            </w:rPr>
            <w:tab/>
          </w:r>
          <w:r>
            <w:rPr>
              <w:szCs w:val="28"/>
              <w:lang w:val="en-CA" w:eastAsia="en-CA"/>
            </w:rPr>
            <w:t>Mechanics of the Unrecovered Cost of Service Account</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3</w:t>
          </w:r>
          <w:r>
            <w:rPr>
              <w:lang w:val="en-CA" w:eastAsia="en-CA"/>
            </w:rPr>
            <w:fldChar w:fldCharType="end"/>
          </w:r>
          <w:r>
            <w:rPr>
              <w:lang w:val="en-CA" w:eastAsia="en-CA"/>
            </w:rPr>
            <w:t>-</w:t>
          </w:r>
          <w:hyperlink w:anchor="__RefHeading___Toc499520061">
            <w:r>
              <w:rPr>
                <w:rStyle w:val="IndexLink"/>
                <w:lang w:val="en-CA" w:eastAsia="en-CA"/>
              </w:rPr>
              <w:t>2</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1.</w:t>
          </w:r>
          <w:r>
            <w:rPr>
              <w:rFonts w:cs="Times New Roman" w:ascii="Times New Roman" w:hAnsi="Times New Roman"/>
              <w:szCs w:val="24"/>
              <w:lang w:val="en-CA" w:eastAsia="en-CA"/>
            </w:rPr>
            <w:tab/>
          </w:r>
          <w:r>
            <w:rPr>
              <w:szCs w:val="26"/>
              <w:lang w:val="en-CA" w:eastAsia="en-CA"/>
            </w:rPr>
            <w:t>Sharing of Diablo Canyon Revenues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4</w:t>
          </w:r>
          <w:r>
            <w:rPr>
              <w:lang w:val="en-CA" w:eastAsia="en-CA"/>
            </w:rPr>
            <w:fldChar w:fldCharType="end"/>
          </w:r>
          <w:r>
            <w:rPr>
              <w:lang w:val="en-CA" w:eastAsia="en-CA"/>
            </w:rPr>
            <w:t>-</w:t>
          </w:r>
          <w:hyperlink w:anchor="__RefHeading___Toc499520062">
            <w:r>
              <w:rPr>
                <w:rStyle w:val="IndexLink"/>
                <w:lang w:val="en-CA" w:eastAsia="en-CA"/>
              </w:rPr>
              <w:t>4</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2.</w:t>
          </w:r>
          <w:r>
            <w:rPr>
              <w:rFonts w:cs="Times New Roman" w:ascii="Times New Roman" w:hAnsi="Times New Roman"/>
              <w:szCs w:val="24"/>
              <w:lang w:val="en-CA" w:eastAsia="en-CA"/>
            </w:rPr>
            <w:tab/>
          </w:r>
          <w:r>
            <w:rPr>
              <w:szCs w:val="26"/>
              <w:lang w:val="en-CA" w:eastAsia="en-CA"/>
            </w:rPr>
            <w:t>Sharing of Hydroelectric Generation Revenues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5</w:t>
          </w:r>
          <w:r>
            <w:rPr>
              <w:lang w:val="en-CA" w:eastAsia="en-CA"/>
            </w:rPr>
            <w:fldChar w:fldCharType="end"/>
          </w:r>
          <w:r>
            <w:rPr>
              <w:lang w:val="en-CA" w:eastAsia="en-CA"/>
            </w:rPr>
            <w:t>-</w:t>
          </w:r>
          <w:hyperlink w:anchor="__RefHeading___Toc499520063">
            <w:r>
              <w:rPr>
                <w:rStyle w:val="IndexLink"/>
                <w:lang w:val="en-CA" w:eastAsia="en-CA"/>
              </w:rPr>
              <w:t>5</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3.</w:t>
          </w:r>
          <w:r>
            <w:rPr>
              <w:rFonts w:cs="Times New Roman" w:ascii="Times New Roman" w:hAnsi="Times New Roman"/>
              <w:szCs w:val="24"/>
              <w:lang w:val="en-CA" w:eastAsia="en-CA"/>
            </w:rPr>
            <w:tab/>
          </w:r>
          <w:r>
            <w:rPr>
              <w:szCs w:val="26"/>
              <w:lang w:val="en-CA" w:eastAsia="en-CA"/>
            </w:rPr>
            <w:t>Revenues Accrued in the TCBA and Associated Generation Memorandum Accounts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6</w:t>
          </w:r>
          <w:r>
            <w:rPr>
              <w:lang w:val="en-CA" w:eastAsia="en-CA"/>
            </w:rPr>
            <w:fldChar w:fldCharType="end"/>
          </w:r>
          <w:r>
            <w:rPr>
              <w:lang w:val="en-CA" w:eastAsia="en-CA"/>
            </w:rPr>
            <w:t>-</w:t>
          </w:r>
          <w:hyperlink w:anchor="__RefHeading___Toc499520064">
            <w:r>
              <w:rPr>
                <w:rStyle w:val="IndexLink"/>
                <w:lang w:val="en-CA" w:eastAsia="en-CA"/>
              </w:rPr>
              <w:t>5</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4.</w:t>
          </w:r>
          <w:r>
            <w:rPr>
              <w:rFonts w:cs="Times New Roman" w:ascii="Times New Roman" w:hAnsi="Times New Roman"/>
              <w:szCs w:val="24"/>
              <w:lang w:val="en-CA" w:eastAsia="en-CA"/>
            </w:rPr>
            <w:tab/>
          </w:r>
          <w:r>
            <w:rPr>
              <w:szCs w:val="26"/>
              <w:lang w:val="en-CA" w:eastAsia="en-CA"/>
            </w:rPr>
            <w:t>Hunters Point Power Plant</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7</w:t>
          </w:r>
          <w:r>
            <w:rPr>
              <w:lang w:val="en-CA" w:eastAsia="en-CA"/>
            </w:rPr>
            <w:fldChar w:fldCharType="end"/>
          </w:r>
          <w:r>
            <w:rPr>
              <w:lang w:val="en-CA" w:eastAsia="en-CA"/>
            </w:rPr>
            <w:t>-</w:t>
          </w:r>
          <w:hyperlink w:anchor="__RefHeading___Toc499520065">
            <w:r>
              <w:rPr>
                <w:rStyle w:val="IndexLink"/>
                <w:lang w:val="en-CA" w:eastAsia="en-CA"/>
              </w:rPr>
              <w:t>6</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C.</w:t>
          </w:r>
          <w:r>
            <w:rPr>
              <w:rFonts w:cs="Times New Roman" w:ascii="Times New Roman" w:hAnsi="Times New Roman"/>
              <w:szCs w:val="24"/>
              <w:lang w:val="en-CA" w:eastAsia="en-CA"/>
            </w:rPr>
            <w:tab/>
          </w:r>
          <w:r>
            <w:rPr>
              <w:szCs w:val="28"/>
              <w:lang w:val="en-CA" w:eastAsia="en-CA"/>
            </w:rPr>
            <w:t>Establishment and Mechanics of the Deferred Procurement Revenue Account</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8</w:t>
          </w:r>
          <w:r>
            <w:rPr>
              <w:lang w:val="en-CA" w:eastAsia="en-CA"/>
            </w:rPr>
            <w:fldChar w:fldCharType="end"/>
          </w:r>
          <w:r>
            <w:rPr>
              <w:lang w:val="en-CA" w:eastAsia="en-CA"/>
            </w:rPr>
            <w:t>-</w:t>
          </w:r>
          <w:hyperlink w:anchor="__RefHeading___Toc499520066">
            <w:r>
              <w:rPr>
                <w:rStyle w:val="IndexLink"/>
                <w:lang w:val="en-CA" w:eastAsia="en-CA"/>
              </w:rPr>
              <w:t>6</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D.</w:t>
          </w:r>
          <w:r>
            <w:rPr>
              <w:rFonts w:cs="Times New Roman" w:ascii="Times New Roman" w:hAnsi="Times New Roman"/>
              <w:szCs w:val="24"/>
              <w:lang w:val="en-CA" w:eastAsia="en-CA"/>
            </w:rPr>
            <w:tab/>
          </w:r>
          <w:r>
            <w:rPr>
              <w:szCs w:val="28"/>
              <w:lang w:val="en-CA" w:eastAsia="en-CA"/>
            </w:rPr>
            <w:t>Distribution Revenue Adjustment Mechanism</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9</w:t>
          </w:r>
          <w:r>
            <w:rPr>
              <w:lang w:val="en-CA" w:eastAsia="en-CA"/>
            </w:rPr>
            <w:fldChar w:fldCharType="end"/>
          </w:r>
          <w:r>
            <w:rPr>
              <w:lang w:val="en-CA" w:eastAsia="en-CA"/>
            </w:rPr>
            <w:t>-</w:t>
          </w:r>
          <w:hyperlink w:anchor="__RefHeading___Toc499520067">
            <w:r>
              <w:rPr>
                <w:rStyle w:val="IndexLink"/>
                <w:lang w:val="en-CA" w:eastAsia="en-CA"/>
              </w:rPr>
              <w:t>7</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E.</w:t>
          </w:r>
          <w:r>
            <w:rPr>
              <w:rFonts w:cs="Times New Roman" w:ascii="Times New Roman" w:hAnsi="Times New Roman"/>
              <w:szCs w:val="24"/>
              <w:lang w:val="en-CA" w:eastAsia="en-CA"/>
            </w:rPr>
            <w:tab/>
          </w:r>
          <w:r>
            <w:rPr>
              <w:szCs w:val="28"/>
              <w:lang w:val="en-CA" w:eastAsia="en-CA"/>
            </w:rPr>
            <w:t>Calculation of the Unbundled Revenue Requirements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10</w:t>
          </w:r>
          <w:r>
            <w:rPr>
              <w:lang w:val="en-CA" w:eastAsia="en-CA"/>
            </w:rPr>
            <w:fldChar w:fldCharType="end"/>
          </w:r>
          <w:r>
            <w:rPr>
              <w:lang w:val="en-CA" w:eastAsia="en-CA"/>
            </w:rPr>
            <w:t>-</w:t>
          </w:r>
          <w:hyperlink w:anchor="__RefHeading___Toc499520068">
            <w:r>
              <w:rPr>
                <w:rStyle w:val="IndexLink"/>
                <w:lang w:val="en-CA" w:eastAsia="en-CA"/>
              </w:rPr>
              <w:t>8</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F.</w:t>
          </w:r>
          <w:r>
            <w:rPr>
              <w:rFonts w:cs="Times New Roman" w:ascii="Times New Roman" w:hAnsi="Times New Roman"/>
              <w:szCs w:val="24"/>
              <w:lang w:val="en-CA" w:eastAsia="en-CA"/>
            </w:rPr>
            <w:tab/>
          </w:r>
          <w:r>
            <w:rPr>
              <w:szCs w:val="28"/>
              <w:lang w:val="en-CA" w:eastAsia="en-CA"/>
            </w:rPr>
            <w:t>Interim Ratemaking Proposal</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11</w:t>
          </w:r>
          <w:r>
            <w:rPr>
              <w:lang w:val="en-CA" w:eastAsia="en-CA"/>
            </w:rPr>
            <w:fldChar w:fldCharType="end"/>
          </w:r>
          <w:r>
            <w:rPr>
              <w:lang w:val="en-CA" w:eastAsia="en-CA"/>
            </w:rPr>
            <w:t>-</w:t>
          </w:r>
          <w:hyperlink w:anchor="__RefHeading___Toc499520069">
            <w:r>
              <w:rPr>
                <w:rStyle w:val="IndexLink"/>
                <w:lang w:val="en-CA" w:eastAsia="en-CA"/>
              </w:rPr>
              <w:t>9</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G.</w:t>
          </w:r>
          <w:r>
            <w:rPr>
              <w:rFonts w:cs="Times New Roman" w:ascii="Times New Roman" w:hAnsi="Times New Roman"/>
              <w:szCs w:val="24"/>
              <w:lang w:val="en-CA" w:eastAsia="en-CA"/>
            </w:rPr>
            <w:tab/>
          </w:r>
          <w:r>
            <w:rPr>
              <w:szCs w:val="28"/>
              <w:lang w:val="en-CA" w:eastAsia="en-CA"/>
            </w:rPr>
            <w:t>Conclusion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12</w:t>
          </w:r>
          <w:r>
            <w:rPr>
              <w:lang w:val="en-CA" w:eastAsia="en-CA"/>
            </w:rPr>
            <w:fldChar w:fldCharType="end"/>
          </w:r>
          <w:r>
            <w:rPr>
              <w:lang w:val="en-CA" w:eastAsia="en-CA"/>
            </w:rPr>
            <w:t>-</w:t>
          </w:r>
          <w:hyperlink w:anchor="__RefHeading___Toc499520070">
            <w:r>
              <w:rPr>
                <w:rStyle w:val="IndexLink"/>
                <w:lang w:val="en-CA" w:eastAsia="en-CA"/>
              </w:rPr>
              <w:t>10</w:t>
            </w:r>
          </w:hyperlink>
          <w:r>
            <w:rPr>
              <w:rStyle w:val="IndexLink"/>
              <w:lang w:val="en-CA" w:eastAsia="en-CA"/>
            </w:rPr>
            <w:fldChar w:fldCharType="end"/>
          </w:r>
        </w:p>
      </w:sdtContent>
    </w:sdt>
    <w:p>
      <w:pPr>
        <w:sectPr>
          <w:headerReference w:type="default" r:id="rId3"/>
          <w:headerReference w:type="first" r:id="rId4"/>
          <w:footerReference w:type="default" r:id="rId5"/>
          <w:footerReference w:type="first" r:id="rId6"/>
          <w:type w:val="nextPage"/>
          <w:pgSz w:w="12240" w:h="15840"/>
          <w:pgMar w:left="1440" w:right="1440" w:gutter="360" w:header="720" w:top="1008" w:footer="432" w:bottom="1656"/>
          <w:lnNumType w:countBy="1" w:restart="newPage" w:distance="283"/>
          <w:pgNumType w:start="1" w:fmt="lowerRoman"/>
          <w:formProt w:val="false"/>
          <w:titlePg/>
          <w:textDirection w:val="lrTb"/>
          <w:docGrid w:type="default" w:linePitch="360" w:charSpace="0"/>
        </w:sectPr>
        <w:pStyle w:val="Normal"/>
        <w:rPr>
          <w:rFonts w:ascii="Times New Roman" w:hAnsi="Times New Roman" w:cs="Times New Roman"/>
          <w:szCs w:val="24"/>
          <w:lang w:val="en-CA" w:eastAsia="en-CA"/>
        </w:rPr>
      </w:pPr>
      <w:r>
        <w:rPr>
          <w:rFonts w:cs="Times New Roman" w:ascii="Times New Roman" w:hAnsi="Times New Roman"/>
          <w:szCs w:val="24"/>
          <w:lang w:val="en-CA" w:eastAsia="en-CA"/>
        </w:rPr>
      </w:r>
    </w:p>
    <w:p>
      <w:pPr>
        <w:pStyle w:val="TITLE1"/>
        <w:rPr/>
      </w:pPr>
      <w:r>
        <w:rPr/>
        <w:t>PACIFIC GAS AND ELECTRIC COMPANY</w:t>
      </w:r>
    </w:p>
    <w:p>
      <w:pPr>
        <w:pStyle w:val="TITLE2"/>
        <w:rPr/>
      </w:pPr>
      <w:r>
        <w:rPr/>
        <w:t>CHAPTER 6</w:t>
      </w:r>
    </w:p>
    <w:p>
      <w:pPr>
        <w:pStyle w:val="TITLE3"/>
        <w:rPr/>
      </w:pPr>
      <w:r>
        <w:rPr/>
        <w:t>BALANCING ACCOUNT MECHANISMS AND</w:t>
        <w:br/>
        <w:t>REVENUE REQUIREMENTS</w:t>
      </w:r>
    </w:p>
    <w:p>
      <w:pPr>
        <w:pStyle w:val="Heading1"/>
        <w:ind w:firstLine="432" w:start="0"/>
        <w:rPr/>
      </w:pPr>
      <w:bookmarkStart w:id="0" w:name="__RefHeading___Toc499520060"/>
      <w:bookmarkEnd w:id="0"/>
      <w:r>
        <w:rPr/>
        <w:t>Introduction</w:t>
      </w:r>
    </w:p>
    <w:p>
      <w:pPr>
        <w:pStyle w:val="Body1"/>
        <w:rPr/>
      </w:pPr>
      <w:r>
        <w:rPr/>
        <w:t>The purpose of this chapter is to describe the proposed balancing account mechanisms and the development of the revenue requirements to implement PG&amp;E’s rate stabilization plan (RSP).  This chapter also describes PG&amp;E’s interim ratemaking proposal effective January 1, 2001, and how it will be trued up when a final decision is rendered in this proceeding.  PG&amp;E will file its RSP tariffs, which implement the proposals described herein, no later than December 8, 2000.  PG&amp;E’s RSP tariffs, if adopted, would supersede the end of freeze tariffs filed November 22, 2000, in Advice Letter 2057</w:t>
        <w:noBreakHyphen/>
        <w:t>E, in compliance with Decisions 99</w:t>
        <w:noBreakHyphen/>
        <w:t>10</w:t>
        <w:noBreakHyphen/>
        <w:t>057, 00</w:t>
        <w:noBreakHyphen/>
        <w:t>03</w:t>
        <w:noBreakHyphen/>
        <w:t>058 and 00</w:t>
        <w:noBreakHyphen/>
        <w:t>06</w:t>
        <w:noBreakHyphen/>
        <w:t xml:space="preserve">034. </w:t>
      </w:r>
    </w:p>
    <w:p>
      <w:pPr>
        <w:pStyle w:val="Body1"/>
        <w:rPr/>
      </w:pPr>
      <w:r>
        <w:rPr/>
        <w:t>Specifically, this chapter:</w:t>
      </w:r>
    </w:p>
    <w:p>
      <w:pPr>
        <w:pStyle w:val="Bullet1"/>
        <w:numPr>
          <w:ilvl w:val="0"/>
          <w:numId w:val="3"/>
        </w:numPr>
        <w:rPr/>
      </w:pPr>
      <w:r>
        <w:rPr/>
        <w:t>describes how already accrued wholesale power costs will be collected through the operation of the Unrecovered Cost of Service Account (UCSA) under the RSP;</w:t>
      </w:r>
    </w:p>
    <w:p>
      <w:pPr>
        <w:pStyle w:val="Bullet1"/>
        <w:numPr>
          <w:ilvl w:val="0"/>
          <w:numId w:val="3"/>
        </w:numPr>
        <w:rPr/>
      </w:pPr>
      <w:r>
        <w:rPr/>
        <w:t>describes how the net revenues from PG&amp;E’s retained generation assets already accrued in the Transition Cost Balancing Account (TCBA) and associated generation memorandum accounts as well as those to come over the RSP period, will reduce the UCSA revenue requirement to be collected from ratepayers;</w:t>
      </w:r>
    </w:p>
    <w:p>
      <w:pPr>
        <w:pStyle w:val="Bullet1"/>
        <w:numPr>
          <w:ilvl w:val="0"/>
          <w:numId w:val="3"/>
        </w:numPr>
        <w:rPr/>
      </w:pPr>
      <w:r>
        <w:rPr/>
        <w:t>explains the Deferred Procurement Revenue Account (DPRA); and</w:t>
      </w:r>
    </w:p>
    <w:p>
      <w:pPr>
        <w:pStyle w:val="Bullet1"/>
        <w:numPr>
          <w:ilvl w:val="0"/>
          <w:numId w:val="3"/>
        </w:numPr>
        <w:rPr/>
      </w:pPr>
      <w:r>
        <w:rPr/>
        <w:t>requests an interim ratemaking proposal to be effective January 1, 2001, with a true</w:t>
        <w:noBreakHyphen/>
        <w:t>up to the effective date when a final decision is issued in this proceeding.</w:t>
      </w:r>
    </w:p>
    <w:p>
      <w:pPr>
        <w:pStyle w:val="Body1"/>
        <w:rPr/>
      </w:pPr>
      <w:r>
        <w:rPr/>
        <w:t>The revenue requirements included in this filing are those authorized by the Commission as of the date of this filing.  Currently, several proceedings pending before the Commission may affect different components of the final revenue requirements.</w:t>
      </w:r>
      <w:r>
        <w:rPr>
          <w:b/>
          <w:position w:val="6"/>
        </w:rPr>
        <w:t>[</w:t>
      </w:r>
      <w:r>
        <w:rPr>
          <w:rStyle w:val="FootnoteCharacters"/>
          <w:rStyle w:val="FootnoteReference"/>
        </w:rPr>
        <w:footnoteReference w:id="2"/>
      </w:r>
      <w:r>
        <w:rPr>
          <w:b/>
          <w:position w:val="6"/>
        </w:rPr>
        <w:t>]</w:t>
      </w:r>
      <w:r>
        <w:rPr/>
        <w:t xml:space="preserve">  To ensure timely cost recovery, PG&amp;E will update the revenue requirements as appropriate when final decisions are rendered in the pending proceedings.  </w:t>
      </w:r>
    </w:p>
    <w:p>
      <w:pPr>
        <w:pStyle w:val="Body1"/>
        <w:rPr/>
      </w:pPr>
      <w:r>
        <w:rPr/>
        <w:t>The remaining sections of this chapter are organized as follows:</w:t>
      </w:r>
    </w:p>
    <w:p>
      <w:pPr>
        <w:pStyle w:val="Body1-list"/>
        <w:ind w:hanging="1267" w:start="1699" w:end="0"/>
        <w:rPr/>
      </w:pPr>
      <w:r>
        <w:rPr/>
        <w:t>Section B -</w:t>
        <w:tab/>
        <w:t>Mechanics of the Unrecovered Cost of Service Account</w:t>
      </w:r>
    </w:p>
    <w:p>
      <w:pPr>
        <w:pStyle w:val="Body1-list"/>
        <w:ind w:hanging="1267" w:start="1699" w:end="0"/>
        <w:rPr/>
      </w:pPr>
      <w:r>
        <w:rPr/>
        <w:t>Section C -</w:t>
        <w:tab/>
        <w:t>Establishment and Mechanics of the Deferred Procurement Revenue Account</w:t>
      </w:r>
    </w:p>
    <w:p>
      <w:pPr>
        <w:pStyle w:val="Body1-list"/>
        <w:ind w:hanging="1267" w:start="1699" w:end="0"/>
        <w:rPr/>
      </w:pPr>
      <w:r>
        <w:rPr/>
        <w:t>Section D -</w:t>
        <w:tab/>
        <w:t xml:space="preserve">Distribution Revenue Adjustment Mechanism </w:t>
      </w:r>
    </w:p>
    <w:p>
      <w:pPr>
        <w:pStyle w:val="Body1-list"/>
        <w:ind w:hanging="1267" w:start="1699" w:end="0"/>
        <w:rPr/>
      </w:pPr>
      <w:r>
        <w:rPr/>
        <w:t>Section E -</w:t>
        <w:tab/>
        <w:t>Calculation of the Unbundled Revenue Requirements</w:t>
      </w:r>
    </w:p>
    <w:p>
      <w:pPr>
        <w:pStyle w:val="Body1-list"/>
        <w:ind w:hanging="1267" w:start="1699" w:end="0"/>
        <w:rPr/>
      </w:pPr>
      <w:r>
        <w:rPr/>
        <w:t>Section F -</w:t>
        <w:tab/>
        <w:t xml:space="preserve">Interim Ratemaking Proposal </w:t>
      </w:r>
    </w:p>
    <w:p>
      <w:pPr>
        <w:pStyle w:val="Body1-list"/>
        <w:ind w:hanging="1267" w:start="1699" w:end="0"/>
        <w:rPr/>
      </w:pPr>
      <w:r>
        <w:rPr/>
        <w:t>Section G -</w:t>
        <w:tab/>
        <w:t>Conclusion</w:t>
      </w:r>
    </w:p>
    <w:p>
      <w:pPr>
        <w:pStyle w:val="Heading1"/>
        <w:ind w:firstLine="432" w:start="0"/>
        <w:rPr/>
      </w:pPr>
      <w:bookmarkStart w:id="1" w:name="__RefHeading___Toc499520061"/>
      <w:bookmarkEnd w:id="1"/>
      <w:r>
        <w:rPr/>
        <w:t>Mechanics of the Unrecovered Cost of Service Account</w:t>
      </w:r>
    </w:p>
    <w:p>
      <w:pPr>
        <w:pStyle w:val="Body1"/>
        <w:rPr/>
      </w:pPr>
      <w:r>
        <w:rPr/>
        <w:t>In PG&amp;E’s prehearing conference (PHC) statement filed on October 25, 2000, PG&amp;E stated its intent to transfer the Transition Revenue Account (TRA) undercollection to a new balancing account called the UCSA.  The purpose of the UCSA is to recover the TRA undercollection over the five</w:t>
        <w:noBreakHyphen/>
        <w:t>year rate stabilization period beginning January 1, 2001.  In PG&amp;E’s November 9, 2000, comments,</w:t>
      </w:r>
      <w:r>
        <w:rPr>
          <w:b/>
          <w:position w:val="6"/>
        </w:rPr>
        <w:t>[</w:t>
      </w:r>
      <w:r>
        <w:rPr>
          <w:rStyle w:val="FootnoteCharacters"/>
          <w:rStyle w:val="FootnoteReference"/>
        </w:rPr>
        <w:footnoteReference w:id="3"/>
      </w:r>
      <w:r>
        <w:rPr>
          <w:b/>
          <w:position w:val="6"/>
        </w:rPr>
        <w:t>]</w:t>
      </w:r>
      <w:r>
        <w:rPr/>
        <w:t xml:space="preserve"> PG&amp;E stated its intent to credit the UCSA with the ratepayer portion of generation revenues accrued in the TCBA and the associated generation memorandum account balances since the date the conditions have been met to end the transition period.  As described in the PHC statement, the November 9, 2000, comments, and throughout this testimony, the TRA undercollection is the responsibility of the ratepayers prior to, as well as since the date PG&amp;E met the conditions to end the freeze.</w:t>
      </w:r>
    </w:p>
    <w:p>
      <w:pPr>
        <w:pStyle w:val="Body1"/>
        <w:rPr/>
      </w:pPr>
      <w:r>
        <w:rPr/>
        <w:t>PG&amp;E recognizes that in isolation, the TRA balance that would be transferred to the UCSA, which is $3.4 billion as of October 31, 2000, would represent a significant increase for customers if recovered over a normal amortization period, such as 12 or 24 months.  PG&amp;E is sympathetic to this reality and seeks to achieve an equitable balance in recovering the extreme energy costs that have accrued due to the dysfunction of the wholesale market.  Towards this end, in addition to amortizing the UCSA balance over five years, as part of the RSP, PG&amp;E proposes to credit more generation earnings in the early years of the RSP to the UCSA, subject to later true</w:t>
        <w:noBreakHyphen/>
        <w:t>up.</w:t>
      </w:r>
    </w:p>
    <w:p>
      <w:pPr>
        <w:pStyle w:val="Body1"/>
        <w:rPr/>
      </w:pPr>
      <w:r>
        <w:rPr/>
        <w:t>Over the entire five</w:t>
        <w:noBreakHyphen/>
        <w:t>year period of the RSP, ratepayers will receive:  (1) 50 percent of the Diablo Canyon earnings as provided under the Commission’s Diablo Canyon benefit sharing decision (D.97</w:t>
        <w:noBreakHyphen/>
        <w:t>05</w:t>
        <w:noBreakHyphen/>
        <w:t>088), subject to the outcome of Application 00</w:t>
        <w:noBreakHyphen/>
        <w:t>06</w:t>
        <w:noBreakHyphen/>
        <w:t>046, (2) 90 percent of the hydroelectric generation revenues above costs, subject to the outcome of Application 99</w:t>
        <w:noBreakHyphen/>
        <w:t>09</w:t>
        <w:noBreakHyphen/>
        <w:t xml:space="preserve">053, (3) the corresponding ratepayer portion of the overcollection in the TCBA and associated generation memorandum accounts accrued since the date the conditions to end the transition period were met, and (4) any market revenues above costs received from Hunters Point Power Plant.  However, the UCSA will be credited with a greater proportion of revenues above costs in the first two years of the RSP as described in more detail below, to reduce the UCSA rate.  In subsequent years of the RSP period, when wholesale power costs are expected to be lower, the shareholder’s share of market revenues from Diablo Canyon and the hydroelectric facilities which have been deferred from the earlier period would be recovered consistent with Assembly Bill (AB) 1890 and Commission decisions. </w:t>
      </w:r>
    </w:p>
    <w:p>
      <w:pPr>
        <w:pStyle w:val="Body1"/>
        <w:rPr/>
      </w:pPr>
      <w:r>
        <w:rPr/>
        <w:t>Per AB 1890, once the transition period has ended, the utility</w:t>
        <w:noBreakHyphen/>
        <w:t>owned generation is changed to unregulated status and must compete in the marketplace.  As such, absent PG&amp;E’s RSP, 50 percent of the Diablo Canyon revenues and 100 percent of the hydro and remaining fossil</w:t>
        <w:noBreakHyphen/>
        <w:t>plant revenues rightfully belong to PG&amp;E’s shareholders and PG&amp;E’s shareholders are at risk for recovery of the going</w:t>
        <w:noBreakHyphen/>
        <w:t xml:space="preserve">forward costs of the plants in the marketplace.  However, as a feature of the RSP, PG&amp;E is proposing to defer recovery of much of its share of these earnings to make the plan easier for customers. </w:t>
      </w:r>
    </w:p>
    <w:p>
      <w:pPr>
        <w:pStyle w:val="Body1"/>
        <w:rPr/>
      </w:pPr>
      <w:r>
        <w:rPr/>
        <w:t xml:space="preserve">Finally, PG&amp;E notes that the UCSA is a nonbypassable charge and will be collected from bundled and direct access customers.  As described in Chapter 2, both bundled and direct access customers are responsible for the undercollection of energy costs.  Bundled customers are responsible because the energy was procured on their behalf.  Direct access customers have cost responsibility because they received a credit on their bill based on the avoided costs associated with PG&amp;E not purchasing energy for these customers and when prices are high, actually receive a negative bill.  Therefore, the UCSA is recoverable from all customers. </w:t>
      </w:r>
    </w:p>
    <w:p>
      <w:pPr>
        <w:pStyle w:val="Heading2"/>
        <w:ind w:firstLine="432" w:start="0"/>
        <w:rPr/>
      </w:pPr>
      <w:bookmarkStart w:id="2" w:name="__RefHeading___Toc499520062"/>
      <w:bookmarkEnd w:id="2"/>
      <w:r>
        <w:rPr/>
        <w:t>Sharing of Diablo Canyon Revenues</w:t>
      </w:r>
    </w:p>
    <w:p>
      <w:pPr>
        <w:pStyle w:val="Body2"/>
        <w:rPr/>
      </w:pPr>
      <w:r>
        <w:rPr/>
        <w:t>Ordering Paragraph 7 of Decision 97</w:t>
        <w:noBreakHyphen/>
        <w:t>05</w:t>
        <w:noBreakHyphen/>
        <w:t>088 requires that, after the end of the rate freeze mandated by AB 1890, PG&amp;E’s customers will be entitled to a 50 percent share of the net benefits associated with the operation of Diablo Canyon.  In compliance with this decision, PG&amp;E filed Application 00</w:t>
        <w:noBreakHyphen/>
        <w:t>06</w:t>
        <w:noBreakHyphen/>
        <w:t>046 with the company’s proposed method for determining net benefits based on audited profits from continued operation of the plant.  The proposed earnings mechanism includes a tax</w:t>
        <w:noBreakHyphen/>
        <w:t>benefit sharing feature that had been previously approved by the Commission.  Under this methodology, the tax benefit created by benefit sharing is itself shared, with the result that the net benefits to shareholders are equal.</w:t>
      </w:r>
    </w:p>
    <w:p>
      <w:pPr>
        <w:pStyle w:val="Body2"/>
        <w:rPr/>
      </w:pPr>
      <w:r>
        <w:rPr/>
        <w:t>However, in the first two years of the RSP, PG&amp;E proposes to credit the UCSA with 100 percent of the earnings above ICIP.  In the last three years of the RSP, there will be an adjustment such that, on average, the benefits from Diablo Canyon are shared 50 percent with ratepayers as required by Decision 97</w:t>
        <w:noBreakHyphen/>
        <w:t>05</w:t>
        <w:noBreakHyphen/>
        <w:t>088 over the entire RSP period.  By temporarily deferring its share of Diablo Canyon operating benefits during the first two years of the RSP, PG&amp;E will reduce the initial UCSA rate, as described in Chapter 7.</w:t>
      </w:r>
    </w:p>
    <w:p>
      <w:pPr>
        <w:pStyle w:val="Body2"/>
        <w:rPr/>
      </w:pPr>
      <w:r>
        <w:rPr/>
        <w:t>In order to comply with the 50 percent sharing requirements of Decision 97</w:t>
        <w:noBreakHyphen/>
        <w:t>05</w:t>
        <w:noBreakHyphen/>
        <w:t>088, period, PG&amp;E will establish the Diablo Canyon Deferred Debit Account (DCDDA) to track the shareholder revenues (including interest at the three</w:t>
        <w:noBreakHyphen/>
        <w:t xml:space="preserve">month commercial paper rate) provided to ratepayers in the first two years.  This memorandum account will be used to determine the revenues due to shareholders from ratepayers, including interest, in years three through five.  </w:t>
      </w:r>
    </w:p>
    <w:p>
      <w:pPr>
        <w:pStyle w:val="Heading2"/>
        <w:ind w:firstLine="432" w:start="0"/>
        <w:rPr/>
      </w:pPr>
      <w:bookmarkStart w:id="3" w:name="__RefHeading___Toc499520063"/>
      <w:bookmarkEnd w:id="3"/>
      <w:r>
        <w:rPr/>
        <w:t>Sharing of Hydroelectric Generation Revenues</w:t>
      </w:r>
    </w:p>
    <w:p>
      <w:pPr>
        <w:pStyle w:val="Body2"/>
        <w:rPr/>
      </w:pPr>
      <w:r>
        <w:rPr/>
        <w:t>On August 14, 2000, PG&amp;E filed a Settlement Agreement for Valuation and Disposition of Hydroelectric Assets (Settlement) in Application 99</w:t>
        <w:noBreakHyphen/>
        <w:t>09</w:t>
        <w:noBreakHyphen/>
        <w:t xml:space="preserve">053.  The Settlement proposed a revenue sharing mechanism for ratepayers and shareholders of 90/10, respectively, of the net revenues received from the hydroelectric facility following the transition from regulated to unregulated status.  Per the proposed Settlement, the 90 percent hydroelectric revenues would be based on a 12.5 percent return on the $2.8 billion.  On November 20, 2000, PG&amp;E withdrew as a party to the Settlement.  PG&amp;E has withdrawn from the Settlement due to changed market conditions.  </w:t>
      </w:r>
    </w:p>
    <w:p>
      <w:pPr>
        <w:pStyle w:val="Body2"/>
        <w:rPr/>
      </w:pPr>
      <w:r>
        <w:rPr/>
        <w:t>However, PG&amp;E proposes in this RSP to defer recovery of its market revenues from the hydroelectric plants by using the sharing mechanism as proposed in the Settlement until a decision is rendered in Application 99</w:t>
        <w:noBreakHyphen/>
        <w:t>09</w:t>
        <w:noBreakHyphen/>
        <w:t>053.  Under this approach, PG&amp;E will credit 90 percent of market revenues above the Settlement’s cost of service formula against the UCSA during the beginning of the RSP period, and will then recover any difference during the final years of the RSP when wholesale prices are expected to be lower.</w:t>
      </w:r>
    </w:p>
    <w:p>
      <w:pPr>
        <w:pStyle w:val="Heading2"/>
        <w:ind w:firstLine="432" w:start="0"/>
        <w:rPr/>
      </w:pPr>
      <w:bookmarkStart w:id="4" w:name="__RefHeading___Toc499520064"/>
      <w:bookmarkEnd w:id="4"/>
      <w:r>
        <w:rPr/>
        <w:t>Revenues Accrued in the TCBA and Associated Generation Memorandum Accounts</w:t>
      </w:r>
    </w:p>
    <w:p>
      <w:pPr>
        <w:pStyle w:val="Body2"/>
        <w:rPr/>
      </w:pPr>
      <w:r>
        <w:rPr/>
        <w:t>To further reduce the UCSA balance, PG&amp;E proposes to credit to the UCSA the ratepayer portion of the overcollection in the TCBA and the associated generation memorandum account balances accrued subsequent to the date the conditions were met to end the transition period.  The UCSA rate described in Chapter 7 reflects the estimate of the overcollections associated with the TCBA and the generation memorandum accounts.   However, this is subject to revision depending on, among other things, the ultimate date determined for the end of the transition period.</w:t>
      </w:r>
      <w:r>
        <w:rPr>
          <w:b/>
          <w:color w:val="000000"/>
          <w:position w:val="6"/>
        </w:rPr>
        <w:t>[</w:t>
      </w:r>
      <w:r>
        <w:rPr>
          <w:rStyle w:val="FootnoteCharacters"/>
          <w:rStyle w:val="FootnoteReference"/>
        </w:rPr>
        <w:footnoteReference w:id="4"/>
      </w:r>
      <w:r>
        <w:rPr>
          <w:b/>
          <w:color w:val="000000"/>
          <w:position w:val="6"/>
        </w:rPr>
        <w:t>]</w:t>
      </w:r>
      <w:r>
        <w:rPr/>
        <w:t xml:space="preserve"> </w:t>
      </w:r>
    </w:p>
    <w:p>
      <w:pPr>
        <w:pStyle w:val="Heading2"/>
        <w:ind w:firstLine="432" w:start="0"/>
        <w:rPr/>
      </w:pPr>
      <w:bookmarkStart w:id="5" w:name="__RefHeading___Toc499520065"/>
      <w:bookmarkEnd w:id="5"/>
      <w:r>
        <w:rPr/>
        <w:t>Hunters Point Power Plant</w:t>
      </w:r>
    </w:p>
    <w:p>
      <w:pPr>
        <w:pStyle w:val="Body2"/>
        <w:rPr/>
      </w:pPr>
      <w:r>
        <w:rPr/>
        <w:t>To the extent there are revenues above costs available from Hunters Point, PG&amp;E will use these revenues to further reduce ratepayer costs over the five</w:t>
        <w:noBreakHyphen/>
        <w:t xml:space="preserve">year RSP period. </w:t>
      </w:r>
    </w:p>
    <w:p>
      <w:pPr>
        <w:pStyle w:val="Heading1"/>
        <w:ind w:firstLine="432" w:start="0"/>
        <w:rPr/>
      </w:pPr>
      <w:bookmarkStart w:id="6" w:name="__RefHeading___Toc499520066"/>
      <w:bookmarkEnd w:id="6"/>
      <w:r>
        <w:rPr/>
        <w:t>Establishment and Mechanics of the Deferred Procurement Revenue Account</w:t>
      </w:r>
    </w:p>
    <w:p>
      <w:pPr>
        <w:pStyle w:val="Body1"/>
        <w:rPr/>
      </w:pPr>
      <w:r>
        <w:rPr/>
        <w:t>As discussed in Chapters 1 and 2, PG&amp;E’s RSP has two major cost recovery elements:  (1) recovery of the UCSA undercollection, and (2) recovery of the ongoing energy procurement costs.  The PTER Phase I decision (D.99</w:t>
        <w:noBreakHyphen/>
        <w:t>10</w:t>
        <w:noBreakHyphen/>
        <w:t xml:space="preserve">057) adopted the Purchased Electric Commodity Account (PECA) to record and recover the costs of procuring electricity for bundled customers. </w:t>
      </w:r>
    </w:p>
    <w:p>
      <w:pPr>
        <w:pStyle w:val="Body1"/>
        <w:rPr/>
      </w:pPr>
      <w:r>
        <w:rPr/>
        <w:t>However, the PTER decision did not contemplate continuation of the PX credit to direct access customers.  As described in Chapter 2, PG&amp;E proposes to continue this credit during the RSP.</w:t>
      </w:r>
    </w:p>
    <w:p>
      <w:pPr>
        <w:pStyle w:val="Body1"/>
        <w:rPr/>
      </w:pPr>
      <w:r>
        <w:rPr/>
        <w:t>To recover ongoing energy costs incurred monthly in excess of the initial 6.5 cents/kWh (or subsequent capped rate), PG&amp;E proposes to establish the DPRA balancing account.  The DPRA will record the undercollection (or overcollection) that accrues between the capped energy rate and the actual procurement price.  Interest will accrue on the DPRA at the three</w:t>
        <w:noBreakHyphen/>
        <w:t>month commercial paper rate.  In this manner, the amount of undercollection (or overcollection) related to energy prices will be determined and recorded into the DPRA.  Chapter 7 describes how the DPRA balance is used to adjust Schedule PX.</w:t>
      </w:r>
      <w:r>
        <w:rPr>
          <w:b/>
          <w:position w:val="6"/>
        </w:rPr>
        <w:t>[</w:t>
      </w:r>
      <w:r>
        <w:rPr>
          <w:rStyle w:val="FootnoteCharacters"/>
          <w:rStyle w:val="FootnoteReference"/>
        </w:rPr>
        <w:footnoteReference w:id="5"/>
      </w:r>
      <w:r>
        <w:rPr>
          <w:b/>
          <w:position w:val="6"/>
        </w:rPr>
        <w:t>]</w:t>
      </w:r>
      <w:r>
        <w:rPr/>
        <w:t xml:space="preserve">  Any over or undercollection remaining in the DPRA as of December 31, 2005, will either be returned or recovered from ratepayers after the RSP period ends. </w:t>
      </w:r>
    </w:p>
    <w:p>
      <w:pPr>
        <w:pStyle w:val="Body1"/>
        <w:rPr/>
      </w:pPr>
      <w:r>
        <w:rPr/>
        <w:t>PG&amp;E’s proposal requires no change to the PECA as adopted in Decision 99</w:t>
        <w:noBreakHyphen/>
        <w:t>10</w:t>
        <w:noBreakHyphen/>
        <w:t>057.  The cost entries into PECA remain unchanged.  The revenue entries to the PECA account under the RSP will be equal to the actual procurement rates that would have applied absent any price stabilization  (adjusted for franchise fees and uncollectibles).</w:t>
      </w:r>
      <w:r>
        <w:rPr>
          <w:b/>
          <w:position w:val="6"/>
        </w:rPr>
        <w:t>[</w:t>
      </w:r>
      <w:r>
        <w:rPr>
          <w:rStyle w:val="FootnoteCharacters"/>
          <w:rStyle w:val="FootnoteReference"/>
        </w:rPr>
        <w:footnoteReference w:id="6"/>
      </w:r>
      <w:r>
        <w:rPr>
          <w:b/>
          <w:position w:val="6"/>
        </w:rPr>
        <w:t>]</w:t>
      </w:r>
    </w:p>
    <w:p>
      <w:pPr>
        <w:pStyle w:val="Body1"/>
        <w:rPr/>
      </w:pPr>
      <w:r>
        <w:rPr/>
        <w:t xml:space="preserve">As discussed in Chapter 3, the RSP will also include an automatic trigger.  The automatic trigger will reset the capped rate when the sum of the balances in the PECA, DPRA and the UCSA exceed the amounts described in Chapter 3.  </w:t>
      </w:r>
    </w:p>
    <w:p>
      <w:pPr>
        <w:pStyle w:val="Heading1"/>
        <w:ind w:firstLine="432" w:start="0"/>
        <w:rPr/>
      </w:pPr>
      <w:bookmarkStart w:id="7" w:name="__RefHeading___Toc499520067"/>
      <w:bookmarkEnd w:id="7"/>
      <w:r>
        <w:rPr/>
        <w:t>Distribution Revenue Adjustment Mechanism</w:t>
      </w:r>
    </w:p>
    <w:p>
      <w:pPr>
        <w:pStyle w:val="Body1"/>
        <w:rPr/>
      </w:pPr>
      <w:r>
        <w:rPr/>
        <w:t xml:space="preserve">PG&amp;E proposes to establish the </w:t>
      </w:r>
      <w:r>
        <w:rPr>
          <w:iCs/>
        </w:rPr>
        <w:t>Distribution Revenue Adjustment Mechanism (DRAM</w:t>
      </w:r>
      <w:r>
        <w:rPr>
          <w:i/>
        </w:rPr>
        <w:t>).</w:t>
      </w:r>
      <w:r>
        <w:rPr/>
        <w:t xml:space="preserve">  The DRAM will remove any disincentive to conservation efforts until a performance-based ratemaking mechanism is adopted for PG&amp;E.  The DRAM will operate in the same manner as the Electric Rate Adjustment Mechanism which was eliminated when the TRA was established.  </w:t>
      </w:r>
    </w:p>
    <w:p>
      <w:pPr>
        <w:pStyle w:val="Body1"/>
        <w:rPr/>
      </w:pPr>
      <w:r>
        <w:rPr/>
        <w:t>Decision 99</w:t>
        <w:noBreakHyphen/>
        <w:t>10</w:t>
        <w:noBreakHyphen/>
        <w:t>057 contemplated PG&amp;E would operate under a PBR once the rate freeze ended, and did not call for a DRAM.  Under a PBR, there would be no need for a DRAM, insofar as the incentive mechanisms inherent in the PBR would protect against under- or overcollection of revenues.  However, in Decision 00</w:t>
        <w:noBreakHyphen/>
        <w:t>02</w:t>
        <w:noBreakHyphen/>
        <w:t>046, the Commission informed PG&amp;E it would not proceed with the PBR.  (mimeo, at p. 477)  The Commission further ordered PG&amp;E to file a new General Rate Case.  (Ordering Paragraph 18)  The Commission then allowed PG&amp;E to withdraw its PBR application. (D.00</w:t>
        <w:noBreakHyphen/>
        <w:t>06</w:t>
        <w:noBreakHyphen/>
        <w:t>058)  In light of these circumstances, PG&amp;E proposes to create a DRAM.  The creation of the DRAM is consistent with the Commission’s traditional ratemaking.</w:t>
      </w:r>
    </w:p>
    <w:p>
      <w:pPr>
        <w:pStyle w:val="Heading1"/>
        <w:ind w:firstLine="432" w:start="0"/>
        <w:rPr/>
      </w:pPr>
      <w:bookmarkStart w:id="8" w:name="__RefHeading___Toc499520068"/>
      <w:bookmarkEnd w:id="8"/>
      <w:r>
        <w:rPr/>
        <w:t>Calculation of the Unbundled Revenue Requirements</w:t>
      </w:r>
    </w:p>
    <w:p>
      <w:pPr>
        <w:pStyle w:val="Body1"/>
        <w:rPr/>
      </w:pPr>
      <w:r>
        <w:rPr/>
        <w:t>PG&amp;E’s estimated unbundled electric revenue requirements for 2001 are shown in Table 6A.</w:t>
      </w:r>
      <w:r>
        <w:rPr>
          <w:b/>
          <w:position w:val="6"/>
        </w:rPr>
        <w:t>[</w:t>
      </w:r>
      <w:r>
        <w:rPr>
          <w:rStyle w:val="FootnoteCharacters"/>
          <w:rStyle w:val="FootnoteReference"/>
        </w:rPr>
        <w:footnoteReference w:id="7"/>
      </w:r>
      <w:r>
        <w:rPr>
          <w:b/>
          <w:position w:val="6"/>
        </w:rPr>
        <w:t>]</w:t>
      </w:r>
      <w:r>
        <w:rPr/>
        <w:t xml:space="preserve">  As previously stated, these revenue requirements are those most recently authorized by the Commission.  As such, these revenue requirements are subject to change based on proceedings currently pending before the Commission.  The rates for the unbundled electric revenue requirements are described in Chapter 7.</w:t>
      </w:r>
    </w:p>
    <w:p>
      <w:pPr>
        <w:pStyle w:val="Body1"/>
        <w:rPr/>
      </w:pPr>
      <w:r>
        <w:rPr/>
        <w:t>Per AB 1890 and subsequent Commission decisions implementing transition cost recovery, recovery of certain transition costs extend beyond the transition period.  The Phase I (99</w:t>
        <w:noBreakHyphen/>
        <w:t>10</w:t>
        <w:noBreakHyphen/>
        <w:t>057) and Phase II (00</w:t>
        <w:noBreakHyphen/>
        <w:t>06</w:t>
        <w:noBreakHyphen/>
        <w:t>034) PTER decisions reaffirmed those costs which were eligible for recovery after the end of the freeze.  These costs include employee transition, Qualifying Facilities (QFs), and other Purchased Power Agreement (PPA) costs.</w:t>
      </w:r>
      <w:r>
        <w:rPr>
          <w:b/>
          <w:position w:val="6"/>
        </w:rPr>
        <w:t>[</w:t>
      </w:r>
      <w:r>
        <w:rPr>
          <w:rStyle w:val="FootnoteCharacters"/>
          <w:rStyle w:val="FootnoteReference"/>
        </w:rPr>
        <w:footnoteReference w:id="8"/>
      </w:r>
      <w:r>
        <w:rPr>
          <w:b/>
          <w:position w:val="6"/>
        </w:rPr>
        <w:t>]</w:t>
      </w:r>
      <w:r>
        <w:rPr/>
        <w:t xml:space="preserve">  PG&amp;E is allowed to recover employee transition costs through December 31, 2006.  With respect to the QF and PPA costs, PG&amp;E is allowed to recover these costs over the contract period.  PG&amp;E has developed a forecast of the ongoing competition transition cost (CTC) based on these components.  As shown on Column A of Table 6A, the estimated ongoing CTC revenue requirement for 2001 is $626.7 million.  The CTC is a nonbypassable charge that will recover these costs from bundled and direct access customers.</w:t>
      </w:r>
    </w:p>
    <w:p>
      <w:pPr>
        <w:pStyle w:val="Body1"/>
        <w:rPr/>
      </w:pPr>
      <w:r>
        <w:rPr/>
        <w:t>The calculation of the UCSA revenue requirement is based on PG&amp;E’s current energy cost undercollection adjusted to include a forecast of energy costs for November and December 2000.  As described above, the UCSA revenue requirement is adjusted to reflect the ratepayer share of the overcollection in the TCBA and the associated generation memorandum accounts and PG&amp;E’s forecast of revenues above costs for Diablo Canyon and Hydroelectric generation.</w:t>
      </w:r>
      <w:r>
        <w:rPr>
          <w:b/>
          <w:position w:val="6"/>
        </w:rPr>
        <w:t>[</w:t>
      </w:r>
      <w:r>
        <w:rPr>
          <w:rStyle w:val="FootnoteCharacters"/>
          <w:rStyle w:val="FootnoteReference"/>
        </w:rPr>
        <w:footnoteReference w:id="9"/>
      </w:r>
      <w:r>
        <w:rPr>
          <w:b/>
          <w:position w:val="6"/>
        </w:rPr>
        <w:t>]</w:t>
      </w:r>
      <w:r>
        <w:rPr/>
        <w:t xml:space="preserve">  The UCSA is a nonbypassable charge and will be recovered from bundled and direct access customers.  As shown on Table 6A, the estimated UCSA revenue requirement for 2001, including the credits described above is $65.6 million.  PG&amp;E proposes that the final UCSA revenue requirement and associated rate be updated to include the most recently recorded balance when a final decision is rendered in this proceeding.  </w:t>
      </w:r>
    </w:p>
    <w:p>
      <w:pPr>
        <w:pStyle w:val="Body1"/>
        <w:rPr/>
      </w:pPr>
      <w:r>
        <w:rPr/>
        <w:t xml:space="preserve">The revenue requirements for Public Purpose Programs (PPP) reflect PG&amp;E’s proposal in this application to increase the CARE discount from 15 percent to 25 percent as described in Chapters 2 and 7.  </w:t>
      </w:r>
    </w:p>
    <w:p>
      <w:pPr>
        <w:pStyle w:val="Body1"/>
        <w:rPr/>
      </w:pPr>
      <w:r>
        <w:rPr/>
        <w:t>The revenue requirements for distribution, nuclear decommissioning, PPP, and transmission represent the most recently authorized by this Commission or the FERC.  These revenue requirements will be updated accordingly when final decisions are issued in proceedings currently pending before the Commission or FERC.</w:t>
      </w:r>
    </w:p>
    <w:p>
      <w:pPr>
        <w:pStyle w:val="Heading1"/>
        <w:ind w:firstLine="432" w:start="0"/>
        <w:rPr/>
      </w:pPr>
      <w:bookmarkStart w:id="9" w:name="__RefHeading___Toc499520069"/>
      <w:bookmarkEnd w:id="9"/>
      <w:r>
        <w:rPr/>
        <w:t>Interim Ratemaking Proposal</w:t>
      </w:r>
    </w:p>
    <w:p>
      <w:pPr>
        <w:pStyle w:val="Body1"/>
        <w:rPr/>
      </w:pPr>
      <w:r>
        <w:rPr/>
        <w:t>As stated in Chapter 1, PG&amp;E realizes it is not possible for this Commission to convene hearings and render a final decision implementing RSP rates effective January 1, 2001.  However, based on the Commission’s criteria, PG&amp;E has met the conditions to end the rate freeze and has filed its end of freeze tariffs and associated rates in Advice Letter 2057</w:t>
        <w:noBreakHyphen/>
        <w:t>E.  Absent the adoption of PG&amp;E’s RSP on an interim and ultimately a final basis, the end of freeze rates reflected in Advice Letter 2057</w:t>
        <w:noBreakHyphen/>
        <w:t xml:space="preserve">E would become effective.  As PG&amp;E has stated throughout this filing, the RSP will mitigate rate shock and avoid, to a large extent, the circumstances that occurred in SDG&amp;E’s service territory this past summer prior to the Legislature’s intervention implementing SDG&amp;E’s rate stabilization plan.  </w:t>
      </w:r>
    </w:p>
    <w:p>
      <w:pPr>
        <w:pStyle w:val="Body1"/>
        <w:rPr/>
      </w:pPr>
      <w:r>
        <w:rPr/>
        <w:t>To implement the RSP as quickly as possible, PG&amp;E proposes an interim rate increase effective January 1, 2001, to be trued</w:t>
        <w:noBreakHyphen/>
        <w:t xml:space="preserve">up with final RSP rates effective March 31, 2001. </w:t>
      </w:r>
    </w:p>
    <w:p>
      <w:pPr>
        <w:pStyle w:val="Body1"/>
        <w:rPr/>
      </w:pPr>
      <w:r>
        <w:rPr/>
        <w:t>To achieve this goal, PG&amp;E proposes to put in place effective January 1, 2001, the accounting mechanisms reflecting the revenue requirements as described in this filing and the resulting rates.  As such, customers will see the rate changes proposed in this RSP in January 2001.  Following hearings and a final decision, PG&amp;E proposes to true</w:t>
        <w:noBreakHyphen/>
        <w:t xml:space="preserve">up the balancing and memorandum account balances, develop new revenue requirements, and determine the resulting rates accordingly. </w:t>
      </w:r>
    </w:p>
    <w:p>
      <w:pPr>
        <w:pStyle w:val="Body1"/>
        <w:rPr/>
      </w:pPr>
      <w:r>
        <w:rPr/>
        <w:t>In addition, if the pending market valuation proceedings for PG&amp;E’s remaining generation facilities result in valuations higher than those included in the RSP, PG&amp;E will true</w:t>
        <w:noBreakHyphen/>
        <w:t>up the end</w:t>
        <w:noBreakHyphen/>
        <w:t>of</w:t>
        <w:noBreakHyphen/>
        <w:t>freeze balancing accounts and RSP rates to reflect the higher valuations.  However, as stated in Chapter 1 of this testimony, PG&amp;E will not seek any true</w:t>
        <w:noBreakHyphen/>
        <w:t>up if the supportable market valuations are lower than included in this RSP.  To the extent the final decision results in a lower (or higher) revenue requirement (and rates) than those effective January 1, 2001, PG&amp;E proposes to adjust the balancing account balances and resulting revenue requirements and rates as if the final decision was effective January 1, 2001.  Any true</w:t>
        <w:noBreakHyphen/>
        <w:t>up will include any associated interest at the three</w:t>
        <w:noBreakHyphen/>
        <w:t xml:space="preserve">month commercial paper rate.  </w:t>
      </w:r>
    </w:p>
    <w:p>
      <w:pPr>
        <w:pStyle w:val="Body1"/>
        <w:rPr/>
      </w:pPr>
      <w:r>
        <w:rPr/>
        <w:t xml:space="preserve">This proposal is equitable to ratepayers and shareholders and provides the benefit of immediate action by the Commission, with subsequent adjustments following hearings in this proceeding.  PG&amp;E requests that the Commission rule on its interim proposal at the December 21, 2000, Commission meeting so that RSP rates can be effective on January 1, 2001.  </w:t>
      </w:r>
    </w:p>
    <w:p>
      <w:pPr>
        <w:pStyle w:val="Heading1"/>
        <w:ind w:firstLine="432" w:start="0"/>
        <w:rPr/>
      </w:pPr>
      <w:bookmarkStart w:id="10" w:name="__RefHeading___Toc499520070"/>
      <w:bookmarkEnd w:id="10"/>
      <w:r>
        <w:rPr/>
        <w:t>Conclusion</w:t>
      </w:r>
    </w:p>
    <w:p>
      <w:pPr>
        <w:pStyle w:val="Body1"/>
        <w:rPr/>
      </w:pPr>
      <w:r>
        <w:rPr/>
        <w:t>As described above, the accounting mechanisms to implement PG&amp;E’s RSP provide a transparent and equitable approach for both ratepayers and shareholders in light of the dysfunction of the wholesale market and resulting high</w:t>
        <w:noBreakHyphen/>
        <w:t>energy costs.  PG&amp;E has met the conditions to end its rate freeze and proposes to supersede those tariffs and rates with the accounting mechanisms described herein.  PG&amp;E has developed its forecast 2001 electric revenue requirements based on the most current information available and consistent with Commission decisions.  PG&amp;E requests that the Commission adopt the accounting mechanisms and revenue requirements proposed in this chapter on an interim basis effective January 1, 2001, for final implementation on April 1, 2001.</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360" w:header="720" w:top="1008" w:footer="432" w:bottom="1008"/>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Palatino Linotyp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noBreakHyphen/>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t>12</w:t>
    </w:r>
    <w:r>
      <w:rPr/>
      <w:fldChar w:fldCharType="end"/>
    </w:r>
    <w:r>
      <w:rPr/>
      <w:noBreakHyphen/>
    </w:r>
    <w:r>
      <w:rPr/>
      <w:fldChar w:fldCharType="begin"/>
    </w:r>
    <w:r>
      <w:rPr/>
      <w:instrText xml:space="preserve"> PAGE </w:instrText>
    </w:r>
    <w:r>
      <w:rPr/>
      <w:fldChar w:fldCharType="separate"/>
    </w:r>
    <w:r>
      <w:rPr/>
      <w:t>i</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6</w:t>
      <w:noBreakHyphen/>
    </w:r>
    <w:r>
      <w:rPr/>
      <w:fldChar w:fldCharType="begin"/>
    </w:r>
    <w:r>
      <w:rPr/>
      <w:instrText xml:space="preserve"> PAGE </w:instrText>
    </w:r>
    <w:r>
      <w:rPr/>
      <w:fldChar w:fldCharType="separate"/>
    </w:r>
    <w:r>
      <w:rPr/>
      <w:t>10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Proceedings currently pending before the Commission are the:  Current Cost Recovery During the Rate Freeze Application (00</w:t>
        <w:noBreakHyphen/>
        <w:t>03</w:t>
        <w:noBreakHyphen/>
        <w:t>038), 2001 Attrition Rate Adjustment proceeding (A.00</w:t>
        <w:noBreakHyphen/>
        <w:t>07</w:t>
        <w:noBreakHyphen/>
        <w:t>043), Electric Restructuring Costs Account proceeding (A.00</w:t>
        <w:noBreakHyphen/>
        <w:t>07</w:t>
        <w:noBreakHyphen/>
        <w:t>013), Diablo Canyon Benefits Sharing proceeding (A.00</w:t>
        <w:noBreakHyphen/>
        <w:t>06</w:t>
        <w:noBreakHyphen/>
        <w:t>046), 2001 Cost of Capital proceeding (A.00</w:t>
        <w:noBreakHyphen/>
        <w:t>05</w:t>
        <w:noBreakHyphen/>
        <w:t>013), 2000 Annual Earnings Assessment Proceeding (AEAP, A.00</w:t>
        <w:noBreakHyphen/>
        <w:t>05</w:t>
        <w:noBreakHyphen/>
        <w:t>004), 2000 Annual Transition Cost Proceeding (ATCP, A.00</w:t>
        <w:noBreakHyphen/>
        <w:t>09</w:t>
        <w:noBreakHyphen/>
        <w:t>001), 1999 ATCP (A.99</w:t>
        <w:noBreakHyphen/>
        <w:t>09</w:t>
        <w:noBreakHyphen/>
        <w:t>006), and 1999 Revenue Adjustment Proceeding  (A.99</w:t>
        <w:noBreakHyphen/>
        <w:t>08</w:t>
        <w:noBreakHyphen/>
        <w:t>023).</w:t>
      </w:r>
    </w:p>
  </w:footnote>
  <w:footnote w:id="3">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Response Of Pacific Gas And Electric Company To Assigned Commissioner’s Ruling And In Opposition to the Petition Of The Utility Reform Network For Modification Of Resolution E</w:t>
        <w:noBreakHyphen/>
        <w:t xml:space="preserve">3527. </w:t>
      </w:r>
    </w:p>
  </w:footnote>
  <w:footnote w:id="4">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ab/>
        <w:t>Given current market circumstances, PG&amp;E expects that the market valuation for its hydroelectric facilities will be something other than its current valuation of $2.8 billion.  If a higher valuation for the hydroelectric assets is adopted, PG&amp;E will revise the RSP rates to reflect the higher value.  A higher valuation will result in an end of freeze date earlier than August 31, 2000.  If a lower valuation is adopted and is supported in the record and by law, PG&amp;E will not adjust the value, but rather, will rely on the minimum valuation recorded in the GABA.</w:t>
      </w:r>
    </w:p>
  </w:footnote>
  <w:footnote w:id="5">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ab/>
        <w:t>Cost recovery for those customers who “opt</w:t>
        <w:noBreakHyphen/>
        <w:t xml:space="preserve">in” is described in Chapter 7. </w:t>
      </w:r>
    </w:p>
  </w:footnote>
  <w:footnote w:id="6">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Schedule PX includes the provisions for determining the stabilized price as well as the “actual” or unstabilized price.  The actual commodity price is determined as the sum of the current costs, plus an estimate of settlement costs, plus a PECA adjustment rate.  The PECA adjustment rate will be determined monthly and will be equal to the under</w:t>
        <w:noBreakHyphen/>
        <w:t xml:space="preserve"> or overcollection in PECA divided by the sales forecast for the subsequent month.</w:t>
      </w:r>
    </w:p>
  </w:footnote>
  <w:footnote w:id="7">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ab/>
        <w:t>Transmission rates are under FERC jurisdiction.  However, for completeness PG&amp;E is showing the Transmission unbundled revenue requirement on Table 6A.</w:t>
      </w:r>
    </w:p>
  </w:footnote>
  <w:footnote w:id="8">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 xml:space="preserve">PU Codes </w:t>
      </w:r>
      <w:r>
        <w:rPr>
          <w:rFonts w:cs="Palatino Linotype" w:ascii="Palatino Linotype" w:hAnsi="Palatino Linotype"/>
        </w:rPr>
        <w:t>§</w:t>
      </w:r>
      <w:r>
        <w:rPr/>
        <w:t>375.</w:t>
      </w:r>
    </w:p>
  </w:footnote>
  <w:footnote w:id="9">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ab/>
        <w:t>As described in Section B.4, to the extent revenues related to Hunters Point materialize, these revenues will also offset the UCSA revenue requirement.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864"/>
        </w:tabs>
        <w:ind w:start="864" w:hanging="432"/>
      </w:pPr>
    </w:lvl>
    <w:lvl w:ilvl="2">
      <w:start w:val="1"/>
      <w:pStyle w:val="Heading3"/>
      <w:numFmt w:val="lowerLetter"/>
      <w:lvlText w:val="%3."/>
      <w:lvlJc w:val="start"/>
      <w:pPr>
        <w:tabs>
          <w:tab w:val="num" w:pos="1296"/>
        </w:tabs>
        <w:ind w:start="1296" w:hanging="432"/>
      </w:pPr>
    </w:lvl>
    <w:lvl w:ilvl="3">
      <w:start w:val="1"/>
      <w:pStyle w:val="Heading4"/>
      <w:numFmt w:val="decimal"/>
      <w:lvlText w:val="(%4)"/>
      <w:lvlJc w:val="start"/>
      <w:pPr>
        <w:tabs>
          <w:tab w:val="num" w:pos="1728"/>
        </w:tabs>
        <w:ind w:start="1728" w:hanging="432"/>
      </w:pPr>
    </w:lvl>
    <w:lvl w:ilvl="4">
      <w:start w:val="1"/>
      <w:pStyle w:val="Heading5"/>
      <w:numFmt w:val="lowerLetter"/>
      <w:lvlText w:val="(%5)"/>
      <w:lvlJc w:val="start"/>
      <w:pPr>
        <w:tabs>
          <w:tab w:val="num" w:pos="2160"/>
        </w:tabs>
        <w:ind w:start="2160" w:hanging="432"/>
      </w:pPr>
    </w:lvl>
    <w:lvl w:ilvl="5">
      <w:start w:val="1"/>
      <w:pStyle w:val="Heading6"/>
      <w:numFmt w:val="upperRoman"/>
      <w:lvlText w:val="(%6)"/>
      <w:lvlJc w:val="start"/>
      <w:pPr>
        <w:tabs>
          <w:tab w:val="num" w:pos="2880"/>
        </w:tabs>
        <w:ind w:start="2880" w:hanging="720"/>
      </w:pPr>
    </w:lvl>
    <w:lvl w:ilvl="6">
      <w:start w:val="1"/>
      <w:pStyle w:val="Heading7"/>
      <w:numFmt w:val="upperLetter"/>
      <w:lvlText w:val="(%7)"/>
      <w:lvlJc w:val="start"/>
      <w:pPr>
        <w:tabs>
          <w:tab w:val="num" w:pos="3600"/>
        </w:tabs>
        <w:ind w:start="3600" w:hanging="720"/>
      </w:pPr>
    </w:lvl>
    <w:lvl w:ilvl="7">
      <w:start w:val="1"/>
      <w:pStyle w:val="Heading8"/>
      <w:numFmt w:val="lowerRoman"/>
      <w:lvlText w:val="(%8)"/>
      <w:lvlJc w:val="start"/>
      <w:pPr>
        <w:tabs>
          <w:tab w:val="num" w:pos="4320"/>
        </w:tabs>
        <w:ind w:start="4320" w:hanging="720"/>
      </w:pPr>
    </w:lvl>
    <w:lvl w:ilvl="8">
      <w:start w:val="1"/>
      <w:pStyle w:val="Heading9"/>
      <w:numFmt w:val="lowerLetter"/>
      <w:lvlText w:val="(%9)"/>
      <w:lvlJc w:val="start"/>
      <w:pPr>
        <w:tabs>
          <w:tab w:val="num" w:pos="5040"/>
        </w:tabs>
        <w:ind w:start="5040" w:hanging="720"/>
      </w:pPr>
    </w:lvl>
  </w:abstractNum>
  <w:abstractNum w:abstractNumId="2">
    <w:lvl w:ilvl="0">
      <w:start w:val="1"/>
      <w:numFmt w:val="none"/>
      <w:suff w:val="nothing"/>
      <w:lvlText w:val=""/>
      <w:lvlJc w:val="start"/>
      <w:pPr>
        <w:tabs>
          <w:tab w:val="num" w:pos="432"/>
        </w:tabs>
        <w:ind w:start="2160" w:hanging="432"/>
      </w:pPr>
      <w:rPr>
        <w:sz w:val="20"/>
        <w:rFonts w:ascii="Symbol" w:hAnsi="Symbol" w:cs="Symbol"/>
        <w:color w:val="000000"/>
      </w:rPr>
    </w:lvl>
  </w:abstractNum>
  <w:abstractNum w:abstractNumId="3">
    <w:lvl w:ilvl="0">
      <w:start w:val="1"/>
      <w:numFmt w:val="none"/>
      <w:suff w:val="nothing"/>
      <w:lvlText w:val=""/>
      <w:lvlJc w:val="start"/>
      <w:pPr>
        <w:tabs>
          <w:tab w:val="num" w:pos="432"/>
        </w:tabs>
        <w:ind w:start="864" w:hanging="432"/>
      </w:pPr>
      <w:rPr>
        <w:sz w:val="20"/>
        <w:rFonts w:ascii="Symbol" w:hAnsi="Symbol" w:cs="Symbol"/>
        <w:color w:val="000000"/>
      </w:rPr>
    </w:lvl>
  </w:abstractNum>
  <w:abstractNum w:abstractNumId="4">
    <w:lvl w:ilvl="0">
      <w:start w:val="1"/>
      <w:numFmt w:val="none"/>
      <w:suff w:val="nothing"/>
      <w:lvlText w:val=""/>
      <w:lvlJc w:val="start"/>
      <w:pPr>
        <w:tabs>
          <w:tab w:val="num" w:pos="432"/>
        </w:tabs>
        <w:ind w:start="1728" w:hanging="432"/>
      </w:pPr>
      <w:rPr>
        <w:sz w:val="20"/>
        <w:rFonts w:ascii="Symbol" w:hAnsi="Symbol" w:cs="Symbol"/>
        <w:color w:val="000000"/>
      </w:rPr>
    </w:lvl>
  </w:abstractNum>
  <w:abstractNum w:abstractNumId="5">
    <w:lvl w:ilvl="0">
      <w:start w:val="1"/>
      <w:numFmt w:val="none"/>
      <w:suff w:val="nothing"/>
      <w:lvlText w:val=""/>
      <w:lvlJc w:val="start"/>
      <w:pPr>
        <w:tabs>
          <w:tab w:val="num" w:pos="432"/>
        </w:tabs>
        <w:ind w:start="1296" w:hanging="432"/>
      </w:pPr>
      <w:rPr>
        <w:sz w:val="20"/>
        <w:rFonts w:ascii="Symbol" w:hAnsi="Symbol" w:cs="Symbol"/>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Times New Roman" w:cs="Arial"/>
      <w:color w:val="000000"/>
      <w:sz w:val="24"/>
      <w:szCs w:val="20"/>
      <w:lang w:val="en-US" w:bidi="ar-SA" w:eastAsia="zh-CN"/>
    </w:rPr>
  </w:style>
  <w:style w:type="paragraph" w:styleId="Heading1">
    <w:name w:val="heading 1"/>
    <w:basedOn w:val="Normal"/>
    <w:next w:val="Body1"/>
    <w:qFormat/>
    <w:pPr>
      <w:keepNext w:val="true"/>
      <w:numPr>
        <w:ilvl w:val="0"/>
        <w:numId w:val="1"/>
      </w:numPr>
      <w:spacing w:before="120" w:after="0"/>
      <w:outlineLvl w:val="0"/>
    </w:pPr>
    <w:rPr>
      <w:b/>
      <w:sz w:val="28"/>
    </w:rPr>
  </w:style>
  <w:style w:type="paragraph" w:styleId="Heading2">
    <w:name w:val="heading 2"/>
    <w:basedOn w:val="Normal"/>
    <w:next w:val="Body2"/>
    <w:qFormat/>
    <w:pPr>
      <w:keepNext w:val="true"/>
      <w:numPr>
        <w:ilvl w:val="1"/>
        <w:numId w:val="1"/>
      </w:numPr>
      <w:spacing w:before="120" w:after="0"/>
      <w:outlineLvl w:val="1"/>
    </w:pPr>
    <w:rPr>
      <w:b/>
      <w:sz w:val="26"/>
    </w:rPr>
  </w:style>
  <w:style w:type="paragraph" w:styleId="Heading3">
    <w:name w:val="heading 3"/>
    <w:basedOn w:val="Heading2"/>
    <w:next w:val="Body3"/>
    <w:qFormat/>
    <w:pPr>
      <w:numPr>
        <w:ilvl w:val="2"/>
        <w:numId w:val="1"/>
      </w:numPr>
      <w:spacing w:before="60" w:after="0"/>
      <w:outlineLvl w:val="2"/>
    </w:pPr>
    <w:rPr>
      <w:sz w:val="23"/>
    </w:rPr>
  </w:style>
  <w:style w:type="paragraph" w:styleId="Heading4">
    <w:name w:val="heading 4"/>
    <w:basedOn w:val="Heading3"/>
    <w:next w:val="Body4"/>
    <w:qFormat/>
    <w:pPr>
      <w:numPr>
        <w:ilvl w:val="3"/>
        <w:numId w:val="1"/>
      </w:numPr>
      <w:outlineLvl w:val="3"/>
    </w:pPr>
    <w:rPr/>
  </w:style>
  <w:style w:type="paragraph" w:styleId="Heading5">
    <w:name w:val="heading 5"/>
    <w:basedOn w:val="Heading4"/>
    <w:next w:val="Body5"/>
    <w:qFormat/>
    <w:pPr>
      <w:numPr>
        <w:ilvl w:val="4"/>
        <w:numId w:val="1"/>
      </w:numPr>
      <w:outlineLvl w:val="4"/>
    </w:pPr>
    <w:rPr/>
  </w:style>
  <w:style w:type="paragraph" w:styleId="Heading6">
    <w:name w:val="heading 6"/>
    <w:basedOn w:val="Heading5"/>
    <w:next w:val="Body6"/>
    <w:qFormat/>
    <w:pPr>
      <w:numPr>
        <w:ilvl w:val="5"/>
        <w:numId w:val="1"/>
      </w:numPr>
      <w:tabs>
        <w:tab w:val="clear" w:pos="720"/>
      </w:tabs>
      <w:ind w:hanging="432" w:start="2592" w:end="0"/>
      <w:outlineLvl w:val="5"/>
    </w:pPr>
    <w:rPr/>
  </w:style>
  <w:style w:type="paragraph" w:styleId="Heading7">
    <w:name w:val="heading 7"/>
    <w:basedOn w:val="Heading6"/>
    <w:next w:val="Body7"/>
    <w:qFormat/>
    <w:pPr>
      <w:numPr>
        <w:ilvl w:val="6"/>
        <w:numId w:val="1"/>
      </w:numPr>
      <w:tabs>
        <w:tab w:val="left" w:pos="3060" w:leader="none"/>
      </w:tabs>
      <w:ind w:hanging="432" w:start="3024" w:end="0"/>
      <w:outlineLvl w:val="6"/>
    </w:pPr>
    <w:rPr/>
  </w:style>
  <w:style w:type="paragraph" w:styleId="Heading8">
    <w:name w:val="heading 8"/>
    <w:basedOn w:val="Heading7"/>
    <w:next w:val="Body8"/>
    <w:qFormat/>
    <w:pPr>
      <w:numPr>
        <w:ilvl w:val="7"/>
        <w:numId w:val="1"/>
      </w:numPr>
      <w:tabs>
        <w:tab w:val="left" w:pos="3060" w:leader="none"/>
        <w:tab w:val="left" w:pos="3510" w:leader="none"/>
      </w:tabs>
      <w:ind w:hanging="432" w:start="3456" w:end="0"/>
      <w:outlineLvl w:val="7"/>
    </w:pPr>
    <w:rPr>
      <w:i/>
    </w:rPr>
  </w:style>
  <w:style w:type="paragraph" w:styleId="Heading9">
    <w:name w:val="heading 9"/>
    <w:basedOn w:val="Heading8"/>
    <w:next w:val="Body9"/>
    <w:qFormat/>
    <w:pPr>
      <w:numPr>
        <w:ilvl w:val="8"/>
        <w:numId w:val="1"/>
      </w:numPr>
      <w:tabs>
        <w:tab w:val="left" w:pos="3060" w:leader="none"/>
        <w:tab w:val="left" w:pos="3510" w:leader="none"/>
        <w:tab w:val="left" w:pos="3960" w:leader="none"/>
      </w:tabs>
      <w:ind w:hanging="432" w:start="3888"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000000"/>
      <w:sz w:val="20"/>
    </w:rPr>
  </w:style>
  <w:style w:type="character" w:styleId="WW8Num15z0">
    <w:name w:val="WW8Num15z0"/>
    <w:qFormat/>
    <w:rPr>
      <w:rFonts w:ascii="Symbol" w:hAnsi="Symbol" w:cs="Symbol"/>
      <w:color w:val="000000"/>
      <w:sz w:val="20"/>
    </w:rPr>
  </w:style>
  <w:style w:type="character" w:styleId="WW8Num16z0">
    <w:name w:val="WW8Num16z0"/>
    <w:qFormat/>
    <w:rPr>
      <w:rFonts w:ascii="Symbol" w:hAnsi="Symbol" w:cs="Symbol"/>
    </w:rPr>
  </w:style>
  <w:style w:type="character" w:styleId="WW8Num17z0">
    <w:name w:val="WW8Num17z0"/>
    <w:qFormat/>
    <w:rPr>
      <w:rFonts w:ascii="Symbol" w:hAnsi="Symbol" w:cs="Symbol"/>
      <w:color w:val="000000"/>
      <w:sz w:val="20"/>
    </w:rPr>
  </w:style>
  <w:style w:type="character" w:styleId="WW8Num18z0">
    <w:name w:val="WW8Num18z0"/>
    <w:qFormat/>
    <w:rPr>
      <w:rFonts w:ascii="Symbol" w:hAnsi="Symbol" w:cs="Symbol"/>
      <w:color w:val="000000"/>
      <w:sz w:val="20"/>
    </w:rPr>
  </w:style>
  <w:style w:type="character" w:styleId="WW8Num19z0">
    <w:name w:val="WW8Num19z0"/>
    <w:qFormat/>
    <w:rPr>
      <w:rFonts w:ascii="Symbol" w:hAnsi="Symbol" w:cs="Symbol"/>
      <w:color w:val="000000"/>
      <w:sz w:val="20"/>
    </w:rPr>
  </w:style>
  <w:style w:type="character" w:styleId="WW8Num20z0">
    <w:name w:val="WW8Num20z0"/>
    <w:qFormat/>
    <w:rPr>
      <w:rFonts w:ascii="Symbol" w:hAnsi="Symbol" w:cs="Symbol"/>
      <w:color w:val="000000"/>
      <w:sz w:val="20"/>
    </w:rPr>
  </w:style>
  <w:style w:type="character" w:styleId="WW8Num21z0">
    <w:name w:val="WW8Num21z0"/>
    <w:qFormat/>
    <w:rPr>
      <w:rFonts w:ascii="Symbol" w:hAnsi="Symbol" w:cs="Symbol"/>
      <w:color w:val="000000"/>
      <w:sz w:val="20"/>
    </w:rPr>
  </w:style>
  <w:style w:type="character" w:styleId="WW8Num22z0">
    <w:name w:val="WW8Num22z0"/>
    <w:qFormat/>
    <w:rPr>
      <w:rFonts w:ascii="Symbol" w:hAnsi="Symbol" w:cs="Symbol"/>
      <w:color w:val="000000"/>
      <w:sz w:val="20"/>
    </w:rPr>
  </w:style>
  <w:style w:type="character" w:styleId="WW8Num23z0">
    <w:name w:val="WW8Num23z0"/>
    <w:qFormat/>
    <w:rPr>
      <w:rFonts w:ascii="Symbol" w:hAnsi="Symbol" w:cs="Symbol"/>
      <w:color w:val="000000"/>
      <w:sz w:val="20"/>
    </w:rPr>
  </w:style>
  <w:style w:type="character" w:styleId="WW8Num24z0">
    <w:name w:val="WW8Num24z0"/>
    <w:qFormat/>
    <w:rPr>
      <w:rFonts w:ascii="Symbol" w:hAnsi="Symbol" w:cs="Symbol"/>
      <w:color w:val="000000"/>
      <w:sz w:val="20"/>
    </w:rPr>
  </w:style>
  <w:style w:type="character" w:styleId="WW8Num25z0">
    <w:name w:val="WW8Num25z0"/>
    <w:qFormat/>
    <w:rPr>
      <w:rFonts w:ascii="Symbol" w:hAnsi="Symbol" w:cs="Symbol"/>
      <w:color w:val="000000"/>
      <w:sz w:val="20"/>
    </w:rPr>
  </w:style>
  <w:style w:type="character" w:styleId="WW8Num27z0">
    <w:name w:val="WW8Num27z0"/>
    <w:qFormat/>
    <w:rPr>
      <w:rFonts w:ascii="Symbol" w:hAnsi="Symbol" w:cs="Symbol"/>
      <w:color w:val="000000"/>
      <w:sz w:val="20"/>
    </w:rPr>
  </w:style>
  <w:style w:type="character" w:styleId="WW8Num28z0">
    <w:name w:val="WW8Num28z0"/>
    <w:qFormat/>
    <w:rPr>
      <w:rFonts w:ascii="Symbol" w:hAnsi="Symbol" w:cs="Symbol"/>
      <w:color w:val="000000"/>
      <w:sz w:val="20"/>
    </w:rPr>
  </w:style>
  <w:style w:type="character" w:styleId="WW8Num29z0">
    <w:name w:val="WW8Num29z0"/>
    <w:qFormat/>
    <w:rPr>
      <w:rFonts w:ascii="Symbol" w:hAnsi="Symbol" w:cs="Symbol"/>
      <w:color w:val="000000"/>
      <w:sz w:val="20"/>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color w:val="000000"/>
      <w:sz w:val="20"/>
    </w:rPr>
  </w:style>
  <w:style w:type="character" w:styleId="WW8Num33z0">
    <w:name w:val="WW8Num33z0"/>
    <w:qFormat/>
    <w:rPr>
      <w:rFonts w:ascii="Symbol" w:hAnsi="Symbol" w:cs="Symbol"/>
      <w:color w:val="000000"/>
      <w:sz w:val="20"/>
    </w:rPr>
  </w:style>
  <w:style w:type="character" w:styleId="WW8Num34z0">
    <w:name w:val="WW8Num34z0"/>
    <w:qFormat/>
    <w:rPr>
      <w:rFonts w:ascii="Symbol" w:hAnsi="Symbol" w:cs="Symbol"/>
      <w:color w:val="000000"/>
      <w:sz w:val="20"/>
    </w:rPr>
  </w:style>
  <w:style w:type="character" w:styleId="WW8Num35z0">
    <w:name w:val="WW8Num35z0"/>
    <w:qFormat/>
    <w:rPr>
      <w:rFonts w:ascii="Symbol" w:hAnsi="Symbol" w:cs="Symbol"/>
      <w:color w:val="000000"/>
      <w:sz w:val="20"/>
    </w:rPr>
  </w:style>
  <w:style w:type="character" w:styleId="WW8Num36z0">
    <w:name w:val="WW8Num36z0"/>
    <w:qFormat/>
    <w:rPr>
      <w:rFonts w:ascii="Symbol" w:hAnsi="Symbol" w:cs="Symbol"/>
      <w:color w:val="000000"/>
      <w:sz w:val="20"/>
    </w:rPr>
  </w:style>
  <w:style w:type="character" w:styleId="WW8Num37z0">
    <w:name w:val="WW8Num37z0"/>
    <w:qFormat/>
    <w:rPr>
      <w:rFonts w:ascii="Symbol" w:hAnsi="Symbol" w:cs="Symbol"/>
      <w:color w:val="000000"/>
      <w:sz w:val="20"/>
    </w:rPr>
  </w:style>
  <w:style w:type="character" w:styleId="WW8Num38z0">
    <w:name w:val="WW8Num38z0"/>
    <w:qFormat/>
    <w:rPr>
      <w:rFonts w:ascii="Courier New" w:hAnsi="Courier New" w:cs="Courier New"/>
      <w:sz w:val="20"/>
    </w:rPr>
  </w:style>
  <w:style w:type="character" w:styleId="WW8Num39z0">
    <w:name w:val="WW8Num39z0"/>
    <w:qFormat/>
    <w:rPr>
      <w:rFonts w:ascii="Symbol" w:hAnsi="Symbol" w:cs="Symbol"/>
      <w:color w:val="000000"/>
      <w:sz w:val="20"/>
    </w:rPr>
  </w:style>
  <w:style w:type="character" w:styleId="WW8Num40z0">
    <w:name w:val="WW8Num40z0"/>
    <w:qFormat/>
    <w:rPr>
      <w:rFonts w:ascii="Symbol" w:hAnsi="Symbol" w:cs="Symbol"/>
      <w:color w:val="000000"/>
      <w:sz w:val="20"/>
    </w:rPr>
  </w:style>
  <w:style w:type="character" w:styleId="WW8Num41z0">
    <w:name w:val="WW8Num41z0"/>
    <w:qFormat/>
    <w:rPr>
      <w:rFonts w:ascii="Symbol" w:hAnsi="Symbol" w:cs="Symbol"/>
      <w:color w:val="000000"/>
      <w:sz w:val="20"/>
    </w:rPr>
  </w:style>
  <w:style w:type="character" w:styleId="WW8Num42z0">
    <w:name w:val="WW8Num42z0"/>
    <w:qFormat/>
    <w:rPr/>
  </w:style>
  <w:style w:type="character" w:styleId="WW8Num43z0">
    <w:name w:val="WW8Num43z0"/>
    <w:qFormat/>
    <w:rPr>
      <w:rFonts w:ascii="Symbol" w:hAnsi="Symbol" w:cs="Symbol"/>
      <w:color w:val="000000"/>
      <w:sz w:val="20"/>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St2z0">
    <w:name w:val="WW8NumSt2z0"/>
    <w:qFormat/>
    <w:rPr>
      <w:rFonts w:ascii="Symbol" w:hAnsi="Symbol" w:cs="Symbol"/>
      <w:color w:val="000000"/>
      <w:sz w:val="20"/>
    </w:rPr>
  </w:style>
  <w:style w:type="character" w:styleId="WW8NumSt3z0">
    <w:name w:val="WW8NumSt3z0"/>
    <w:qFormat/>
    <w:rPr>
      <w:rFonts w:ascii="Symbol" w:hAnsi="Symbol" w:cs="Symbol"/>
      <w:color w:val="000000"/>
      <w:sz w:val="16"/>
    </w:rPr>
  </w:style>
  <w:style w:type="character" w:styleId="WW8NumSt4z0">
    <w:name w:val="WW8NumSt4z0"/>
    <w:qFormat/>
    <w:rPr>
      <w:rFonts w:ascii="Symbol" w:hAnsi="Symbol" w:cs="Symbol"/>
      <w:sz w:val="16"/>
    </w:rPr>
  </w:style>
  <w:style w:type="character" w:styleId="WW8NumSt5z0">
    <w:name w:val="WW8NumSt5z0"/>
    <w:qFormat/>
    <w:rPr>
      <w:rFonts w:ascii="Symbol" w:hAnsi="Symbol" w:cs="Symbol"/>
    </w:rPr>
  </w:style>
  <w:style w:type="character" w:styleId="WW8NumSt35z0">
    <w:name w:val="WW8NumSt35z0"/>
    <w:qFormat/>
    <w:rPr>
      <w:rFonts w:ascii="Symbol" w:hAnsi="Symbol" w:cs="Symbol"/>
      <w:color w:val="000000"/>
      <w:sz w:val="20"/>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b/>
      <w:strike w:val="false"/>
      <w:dstrike w:val="false"/>
      <w:color w:val="auto"/>
      <w:spacing w:val="0"/>
      <w:w w:val="100"/>
      <w:kern w:val="0"/>
      <w:position w:val="0"/>
      <w:sz w:val="24"/>
      <w:sz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cs="Arial"/>
      <w:strike w:val="false"/>
      <w:dstrike w:val="false"/>
      <w:color w:val="auto"/>
      <w:position w:val="0"/>
      <w:sz w:val="20"/>
      <w:sz w:val="20"/>
      <w:vertAlign w:val="baseline"/>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Body2">
    <w:name w:val="Body 2"/>
    <w:basedOn w:val="Normal"/>
    <w:qFormat/>
    <w:pPr>
      <w:ind w:firstLine="432" w:start="864" w:end="0"/>
    </w:pPr>
    <w:rPr>
      <w:color w:val="000000"/>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Body6">
    <w:name w:val="Body 6"/>
    <w:basedOn w:val="Body5"/>
    <w:qFormat/>
    <w:pPr>
      <w:ind w:firstLine="432" w:start="2592" w:end="0"/>
    </w:pPr>
    <w:rPr/>
  </w:style>
  <w:style w:type="paragraph" w:styleId="Body7">
    <w:name w:val="Body 7"/>
    <w:basedOn w:val="Body6"/>
    <w:qFormat/>
    <w:pPr>
      <w:ind w:firstLine="432" w:start="3024" w:end="0"/>
    </w:pPr>
    <w:rPr/>
  </w:style>
  <w:style w:type="paragraph" w:styleId="Body8">
    <w:name w:val="Body 8"/>
    <w:basedOn w:val="Body7"/>
    <w:qFormat/>
    <w:pPr>
      <w:ind w:firstLine="432" w:start="3456" w:end="0"/>
    </w:pPr>
    <w:rPr/>
  </w:style>
  <w:style w:type="paragraph" w:styleId="Body9">
    <w:name w:val="Body 9"/>
    <w:basedOn w:val="Body8"/>
    <w:qFormat/>
    <w:pPr>
      <w:ind w:firstLine="432" w:start="3888"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Bullet0">
    <w:name w:val="Bullet 0"/>
    <w:basedOn w:val="Normal"/>
    <w:qFormat/>
    <w:pPr>
      <w:numPr>
        <w:ilvl w:val="0"/>
        <w:numId w:val="3"/>
      </w:numPr>
      <w:spacing w:before="0" w:after="120"/>
      <w:ind w:firstLine="432" w:start="432" w:end="0"/>
    </w:pPr>
    <w:rPr/>
  </w:style>
  <w:style w:type="paragraph" w:styleId="Bullet1">
    <w:name w:val="Bullet 1"/>
    <w:basedOn w:val="Bullet0"/>
    <w:qFormat/>
    <w:pPr>
      <w:ind w:firstLine="432" w:start="864" w:end="0"/>
    </w:pPr>
    <w:rPr/>
  </w:style>
  <w:style w:type="paragraph" w:styleId="Bullet2">
    <w:name w:val="Bullet 2"/>
    <w:basedOn w:val="Bullet1"/>
    <w:qFormat/>
    <w:pPr>
      <w:ind w:firstLine="432" w:start="1296" w:end="0"/>
    </w:pPr>
    <w:rPr/>
  </w:style>
  <w:style w:type="paragraph" w:styleId="Bullet3">
    <w:name w:val="Bullet 3"/>
    <w:basedOn w:val="Bullet2"/>
    <w:qFormat/>
    <w:pPr>
      <w:numPr>
        <w:ilvl w:val="0"/>
        <w:numId w:val="5"/>
      </w:numPr>
      <w:ind w:firstLine="432" w:start="1728" w:end="0"/>
    </w:pPr>
    <w:rPr/>
  </w:style>
  <w:style w:type="paragraph" w:styleId="Bullet4">
    <w:name w:val="Bullet 4"/>
    <w:basedOn w:val="Bullet3"/>
    <w:qFormat/>
    <w:pPr>
      <w:numPr>
        <w:ilvl w:val="0"/>
        <w:numId w:val="4"/>
      </w:numPr>
      <w:ind w:firstLine="432" w:start="2160" w:end="0"/>
    </w:pPr>
    <w:rPr/>
  </w:style>
  <w:style w:type="paragraph" w:styleId="Bullet5">
    <w:name w:val="Bullet 5"/>
    <w:basedOn w:val="Bullet4"/>
    <w:qFormat/>
    <w:pPr>
      <w:numPr>
        <w:ilvl w:val="0"/>
        <w:numId w:val="2"/>
      </w:numPr>
      <w:ind w:firstLine="432" w:start="2592" w:end="0"/>
    </w:pPr>
    <w:rPr/>
  </w:style>
  <w:style w:type="paragraph" w:styleId="BodyTextIndent">
    <w:name w:val="Body Text Indent"/>
    <w:basedOn w:val="Normal"/>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000000"/>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000000"/>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caps/>
      <w:sz w:val="20"/>
    </w:rPr>
  </w:style>
  <w:style w:type="paragraph" w:styleId="Table">
    <w:name w:val="Table"/>
    <w:basedOn w:val="Body2"/>
    <w:qFormat/>
    <w:pPr>
      <w:keepNext w:val="true"/>
      <w:keepLines/>
      <w:spacing w:lineRule="auto" w:line="240"/>
      <w:ind w:hanging="0" w:start="0" w:end="0"/>
    </w:pPr>
    <w:rPr>
      <w:sz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Times New Roman" w:cs="Arial"/>
      <w:color w:val="auto"/>
      <w:sz w:val="20"/>
      <w:szCs w:val="20"/>
      <w:lang w:val="en-US" w:bidi="ar-SA" w:eastAsia="zh-C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ullet6">
    <w:name w:val="Bullet 6"/>
    <w:basedOn w:val="Bullet5"/>
    <w:qFormat/>
    <w:pPr>
      <w:ind w:firstLine="432" w:start="3024" w:end="0"/>
    </w:pPr>
    <w:rPr/>
  </w:style>
  <w:style w:type="paragraph" w:styleId="Quotation6">
    <w:name w:val="Quotation 6"/>
    <w:basedOn w:val="Quotation5"/>
    <w:qFormat/>
    <w:pPr>
      <w:ind w:hanging="0" w:start="3024" w:end="0"/>
    </w:pPr>
    <w:rPr/>
  </w:style>
  <w:style w:type="paragraph" w:styleId="Bullet7">
    <w:name w:val="Bullet 7"/>
    <w:basedOn w:val="Bullet6"/>
    <w:qFormat/>
    <w:pPr>
      <w:ind w:firstLine="432" w:start="3456" w:end="0"/>
    </w:pPr>
    <w:rPr/>
  </w:style>
  <w:style w:type="paragraph" w:styleId="Quotation7">
    <w:name w:val="Quotation 7"/>
    <w:basedOn w:val="Quotation6"/>
    <w:qFormat/>
    <w:pPr>
      <w:ind w:hanging="0" w:start="3456" w:end="0"/>
    </w:pPr>
    <w:rPr/>
  </w:style>
  <w:style w:type="paragraph" w:styleId="Bullet8">
    <w:name w:val="Bullet 8"/>
    <w:basedOn w:val="Bullet7"/>
    <w:qFormat/>
    <w:pPr>
      <w:ind w:firstLine="432" w:start="3888" w:end="0"/>
    </w:pPr>
    <w:rPr/>
  </w:style>
  <w:style w:type="paragraph" w:styleId="Quotation8">
    <w:name w:val="Quotation 8"/>
    <w:basedOn w:val="Quotation7"/>
    <w:qFormat/>
    <w:pPr>
      <w:ind w:hanging="0" w:start="3888" w:end="0"/>
    </w:pPr>
    <w:rPr/>
  </w:style>
  <w:style w:type="paragraph" w:styleId="Bullet9">
    <w:name w:val="Bullet 9"/>
    <w:basedOn w:val="Bullet8"/>
    <w:qFormat/>
    <w:pPr>
      <w:ind w:firstLine="432" w:start="4320"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Times New Roman" w:cs="Arial"/>
      <w:b/>
      <w:color w:val="000000"/>
      <w:spacing w:val="10"/>
      <w:sz w:val="28"/>
      <w:szCs w:val="20"/>
      <w:lang w:val="en-US" w:bidi="ar-SA" w:eastAsia="zh-CN"/>
    </w:rPr>
  </w:style>
  <w:style w:type="paragraph" w:styleId="TITLE1">
    <w:name w:val="TITLE 1"/>
    <w:basedOn w:val="Normal"/>
    <w:qFormat/>
    <w:pPr>
      <w:ind w:hanging="0" w:start="0" w:end="0"/>
      <w:jc w:val="center"/>
    </w:pPr>
    <w:rPr>
      <w:b/>
      <w:sz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sz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000000"/>
    </w:rPr>
  </w:style>
  <w:style w:type="paragraph" w:styleId="Body0-list">
    <w:name w:val="Body 0 - list"/>
    <w:basedOn w:val="BodyTextIndent"/>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2000-11-22T18:51:00Z</dcterms:created>
  <dc:creator>Carolyn Lim</dc:creator>
  <dc:description/>
  <dc:language>en-CA</dc:language>
  <cp:lastModifiedBy>Janice Frazier-Hampton</cp:lastModifiedBy>
  <cp:lastPrinted>2000-11-22T09:55:00Z</cp:lastPrinted>
  <dcterms:modified xsi:type="dcterms:W3CDTF">2000-11-22T18:51:00Z</dcterms:modified>
  <cp:revision>2</cp:revision>
  <dc:subject/>
  <dc:title> TITLE </dc:title>
</cp:coreProperties>
</file>