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FINANCIAL ISSUES RESULTING FROM CURRENT</w:t>
        <w:br/>
        <w:t>CALIFORNIA POWER MARKET DYSFUNCTION</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docGrid w:type="default" w:linePitch="360" w:charSpace="0"/>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FINANCIAL ISSUES RESULTING FROM CURRENT</w:t>
        <w:br/>
        <w:t>CALIFORNIA POWER MARKET DYSFUNCTION</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cs="Times New Roman"/>
              <w:szCs w:val="24"/>
              <w:lang w:val="en-CA" w:eastAsia="en-CA"/>
            </w:rPr>
          </w:pPr>
          <w:r>
            <w:fldChar w:fldCharType="begin"/>
          </w:r>
          <w:r>
            <w:rPr>
              <w:szCs w:val="28"/>
              <w:lang w:val="en-CA" w:eastAsia="en-CA"/>
            </w:rPr>
            <w:instrText xml:space="preserve"> TOC \o "1-4" \s chap </w:instrText>
          </w:r>
          <w:r>
            <w:rPr>
              <w:szCs w:val="28"/>
              <w:lang w:val="en-CA" w:eastAsia="en-CA"/>
            </w:rPr>
            <w:fldChar w:fldCharType="separate"/>
          </w:r>
          <w:r>
            <w:rPr>
              <w:szCs w:val="28"/>
              <w:lang w:val="en-CA" w:eastAsia="en-CA"/>
            </w:rPr>
            <w:t>A.</w:t>
          </w:r>
          <w:r>
            <w:rPr>
              <w:rFonts w:cs="Times New Roman" w:ascii="Times New Roman" w:hAnsi="Times New Roman"/>
              <w:szCs w:val="24"/>
              <w:lang w:val="en-CA" w:eastAsia="en-CA"/>
            </w:rPr>
            <w:tab/>
          </w:r>
          <w:r>
            <w:rPr>
              <w:szCs w:val="28"/>
              <w:lang w:val="en-CA" w:eastAsia="en-CA"/>
            </w:rPr>
            <w:t>Introduction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2</w:t>
          </w:r>
          <w:r>
            <w:rPr>
              <w:lang w:val="en-CA" w:eastAsia="en-CA"/>
            </w:rPr>
            <w:fldChar w:fldCharType="end"/>
          </w:r>
          <w:r>
            <w:rPr>
              <w:lang w:val="en-CA" w:eastAsia="en-CA"/>
            </w:rPr>
            <w:t>-</w:t>
          </w:r>
          <w:hyperlink w:anchor="__RefHeading___Toc499524260">
            <w:r>
              <w:rPr>
                <w:rStyle w:val="IndexLink"/>
                <w:lang w:val="en-CA" w:eastAsia="en-CA"/>
              </w:rPr>
              <w:t>1</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B.</w:t>
          </w:r>
          <w:r>
            <w:rPr>
              <w:rFonts w:cs="Times New Roman" w:ascii="Times New Roman" w:hAnsi="Times New Roman"/>
              <w:szCs w:val="24"/>
              <w:lang w:val="en-CA" w:eastAsia="en-CA"/>
            </w:rPr>
            <w:tab/>
          </w:r>
          <w:r>
            <w:rPr>
              <w:szCs w:val="28"/>
              <w:lang w:val="en-CA" w:eastAsia="en-CA"/>
            </w:rPr>
            <w:t>Impact of Power Cost Undercollection on PG&amp;E’s Financial Condition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3</w:t>
          </w:r>
          <w:r>
            <w:rPr>
              <w:lang w:val="en-CA" w:eastAsia="en-CA"/>
            </w:rPr>
            <w:fldChar w:fldCharType="end"/>
          </w:r>
          <w:r>
            <w:rPr>
              <w:lang w:val="en-CA" w:eastAsia="en-CA"/>
            </w:rPr>
            <w:t>-</w:t>
          </w:r>
          <w:hyperlink w:anchor="__RefHeading___Toc499524261">
            <w:r>
              <w:rPr>
                <w:rStyle w:val="IndexLink"/>
                <w:lang w:val="en-CA" w:eastAsia="en-CA"/>
              </w:rPr>
              <w:t>1</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C.</w:t>
          </w:r>
          <w:r>
            <w:rPr>
              <w:rFonts w:cs="Times New Roman" w:ascii="Times New Roman" w:hAnsi="Times New Roman"/>
              <w:szCs w:val="24"/>
              <w:lang w:val="en-CA" w:eastAsia="en-CA"/>
            </w:rPr>
            <w:tab/>
          </w:r>
          <w:r>
            <w:rPr>
              <w:szCs w:val="28"/>
              <w:lang w:val="en-CA" w:eastAsia="en-CA"/>
            </w:rPr>
            <w:t>Creditors’ Expectations on Timing and Nature of Regulatory Resolution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4</w:t>
          </w:r>
          <w:r>
            <w:rPr>
              <w:lang w:val="en-CA" w:eastAsia="en-CA"/>
            </w:rPr>
            <w:fldChar w:fldCharType="end"/>
          </w:r>
          <w:r>
            <w:rPr>
              <w:lang w:val="en-CA" w:eastAsia="en-CA"/>
            </w:rPr>
            <w:t>-</w:t>
          </w:r>
          <w:hyperlink w:anchor="__RefHeading___Toc499524262">
            <w:r>
              <w:rPr>
                <w:rStyle w:val="IndexLink"/>
                <w:lang w:val="en-CA" w:eastAsia="en-CA"/>
              </w:rPr>
              <w:t>6</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D.</w:t>
          </w:r>
          <w:r>
            <w:rPr>
              <w:rFonts w:cs="Times New Roman" w:ascii="Times New Roman" w:hAnsi="Times New Roman"/>
              <w:szCs w:val="24"/>
              <w:lang w:val="en-CA" w:eastAsia="en-CA"/>
            </w:rPr>
            <w:tab/>
          </w:r>
          <w:r>
            <w:rPr>
              <w:szCs w:val="28"/>
              <w:lang w:val="en-CA" w:eastAsia="en-CA"/>
            </w:rPr>
            <w:t>Rate Stabilization Plan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5</w:t>
          </w:r>
          <w:r>
            <w:rPr>
              <w:lang w:val="en-CA" w:eastAsia="en-CA"/>
            </w:rPr>
            <w:fldChar w:fldCharType="end"/>
          </w:r>
          <w:r>
            <w:rPr>
              <w:lang w:val="en-CA" w:eastAsia="en-CA"/>
            </w:rPr>
            <w:t>-</w:t>
          </w:r>
          <w:hyperlink w:anchor="__RefHeading___Toc499524263">
            <w:r>
              <w:rPr>
                <w:rStyle w:val="IndexLink"/>
                <w:lang w:val="en-CA" w:eastAsia="en-CA"/>
              </w:rPr>
              <w:t>6</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E.</w:t>
          </w:r>
          <w:r>
            <w:rPr>
              <w:rFonts w:cs="Times New Roman" w:ascii="Times New Roman" w:hAnsi="Times New Roman"/>
              <w:szCs w:val="24"/>
              <w:lang w:val="en-CA" w:eastAsia="en-CA"/>
            </w:rPr>
            <w:tab/>
          </w:r>
          <w:r>
            <w:rPr>
              <w:szCs w:val="28"/>
              <w:lang w:val="en-CA" w:eastAsia="en-CA"/>
            </w:rPr>
            <w:t>Conclusion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6</w:t>
          </w:r>
          <w:r>
            <w:rPr>
              <w:lang w:val="en-CA" w:eastAsia="en-CA"/>
            </w:rPr>
            <w:fldChar w:fldCharType="end"/>
          </w:r>
          <w:r>
            <w:rPr>
              <w:lang w:val="en-CA" w:eastAsia="en-CA"/>
            </w:rPr>
            <w:t>-</w:t>
          </w:r>
          <w:hyperlink w:anchor="__RefHeading___Toc499524264">
            <w:r>
              <w:rPr>
                <w:rStyle w:val="IndexLink"/>
                <w:lang w:val="en-CA" w:eastAsia="en-CA"/>
              </w:rPr>
              <w:t>8</w:t>
            </w:r>
          </w:hyperlink>
          <w:r>
            <w:rPr>
              <w:rStyle w:val="IndexLink"/>
              <w:lang w:val="en-CA" w:eastAsia="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docGrid w:type="default" w:linePitch="360" w:charSpace="0"/>
        </w:sectPr>
        <w:pStyle w:val="Normal"/>
        <w:rPr>
          <w:rFonts w:ascii="Times New Roman" w:hAnsi="Times New Roman" w:cs="Times New Roman"/>
          <w:szCs w:val="24"/>
          <w:lang w:val="en-CA" w:eastAsia="en-CA"/>
        </w:rPr>
      </w:pPr>
      <w:r>
        <w:rPr>
          <w:rFonts w:cs="Times New Roman" w:ascii="Times New Roman" w:hAnsi="Times New Roman"/>
          <w:szCs w:val="24"/>
          <w:lang w:val="en-CA" w:eastAsia="en-CA"/>
        </w:rPr>
      </w:r>
    </w:p>
    <w:p>
      <w:pPr>
        <w:pStyle w:val="TITLE1"/>
        <w:rPr/>
      </w:pPr>
      <w:r>
        <w:rPr/>
        <w:t>PACIFIC GAS AND ELECTRIC COMPANY</w:t>
      </w:r>
    </w:p>
    <w:p>
      <w:pPr>
        <w:pStyle w:val="TITLE2"/>
        <w:rPr/>
      </w:pPr>
      <w:r>
        <w:rPr/>
        <w:t>CHAPTER 4</w:t>
      </w:r>
    </w:p>
    <w:p>
      <w:pPr>
        <w:pStyle w:val="TITLE3"/>
        <w:rPr/>
      </w:pPr>
      <w:r>
        <w:rPr/>
        <w:t>FINANCIAL ISSUES RESULTING FROM CURRENT</w:t>
        <w:br/>
        <w:t>CALIFORNIA POWER MARKET DYSFUNCTION</w:t>
      </w:r>
    </w:p>
    <w:p>
      <w:pPr>
        <w:pStyle w:val="Heading1"/>
        <w:ind w:firstLine="432" w:start="0"/>
        <w:rPr/>
      </w:pPr>
      <w:bookmarkStart w:id="0" w:name="__RefHeading___Toc499524260"/>
      <w:bookmarkEnd w:id="0"/>
      <w:r>
        <w:rPr/>
        <w:t>Introduction</w:t>
      </w:r>
    </w:p>
    <w:p>
      <w:pPr>
        <w:pStyle w:val="Body1"/>
        <w:rPr/>
      </w:pPr>
      <w:r>
        <w:rPr/>
        <w:t>The purpose of this testimony is to address the financial issues facing Pacific Gas and Electric Company (“PG&amp;E” or the “Company”) as a result of the current California power market dysfunction that has resulted in unprecedented wholesale power purchase cash costs and the related subsequent undercollection of cash revenues by PG&amp;E.  Specifically, this testimony will address the following issues:</w:t>
      </w:r>
    </w:p>
    <w:p>
      <w:pPr>
        <w:pStyle w:val="Body1-list"/>
        <w:rPr/>
      </w:pPr>
      <w:r>
        <w:rPr/>
        <w:t>(i)</w:t>
        <w:tab/>
        <w:t>the reaction of the capital markets and the financial implications of PG&amp;E’s current situation from the perspective of the credit rating agencies, commercial bank lenders, institutional bondholders and other entities whose support has been necessary to finance current cash deficits and PG&amp;E’s continued utility operations during this period of uncertainty; and</w:t>
      </w:r>
    </w:p>
    <w:p>
      <w:pPr>
        <w:pStyle w:val="Body1-list"/>
        <w:rPr/>
      </w:pPr>
      <w:r>
        <w:rPr/>
        <w:t>(ii)</w:t>
        <w:tab/>
        <w:t>the broad implications, from a financial perspective, of the current situation in the California electricity markets and the expectations of the financial and credit markets concerning the timing of a solution to PG&amp;E’s undercollection problem as well as the likely framework of such a solution.</w:t>
      </w:r>
    </w:p>
    <w:p>
      <w:pPr>
        <w:pStyle w:val="Heading1"/>
        <w:ind w:firstLine="432" w:start="0"/>
        <w:rPr/>
      </w:pPr>
      <w:bookmarkStart w:id="1" w:name="__RefHeading___Toc499524261"/>
      <w:bookmarkEnd w:id="1"/>
      <w:r>
        <w:rPr/>
        <w:t>Impact of Power Cost Undercollection on PG&amp;E’s Financial Condition</w:t>
      </w:r>
    </w:p>
    <w:p>
      <w:pPr>
        <w:pStyle w:val="Body1"/>
        <w:rPr/>
      </w:pPr>
      <w:r>
        <w:rPr/>
        <w:t>Historically, the Company has maintained an appropriately conservative and strong financial profile, giving it a favored presence and position in the debt markets, as evidenced by PG&amp;E’s senior unsecured long-term credit ratings of A2 by Moody’s Investors Services (“Moody’s”), A by Standard and Poor’s (“S&amp;P”).  In addition, the Company has maintained the highest short-term credit ratings of A1/P1 from S&amp;P and Moody’s, respectively.  Debt securities issued by PG&amp;E are traditionally highly sought after due to the Company’s reputation and financial management practices.  However, PG&amp;E’s financial health has been seriously threatened in a relatively short period of time due to its severe undercollection of power procurement costs.</w:t>
      </w:r>
    </w:p>
    <w:p>
      <w:pPr>
        <w:pStyle w:val="Body1"/>
        <w:rPr/>
      </w:pPr>
      <w:r>
        <w:rPr/>
        <w:t>While the power cost component of PG&amp;E’s retail rate has been locked at approximately 5.4 cents, its average cost of power procurement has grown to three to four times such a “frozen” level due to prevailing wholesale prices on the California Power Exchange (“PX”).  While the Company’s gross undercollection has been somewhat offset by the wholesale energy revenues credited to its retained generating assets, these generating assets do not have nearly enough capacity to service all of PG&amp;E’s load requirements (they serve approximately 40 percent of volumetric energy load requirements).  Therefore, PG&amp;E is a significant net purchaser of power from the PX and to the extent PX prices exceed the power cost component of retail rates, the Company will incur greater costs to procure energy than it will realize in current revenues.</w:t>
      </w:r>
    </w:p>
    <w:p>
      <w:pPr>
        <w:pStyle w:val="Body1"/>
        <w:rPr/>
      </w:pPr>
      <w:r>
        <w:rPr/>
        <w:t>These conditions caused the Company to encounter a financial crisis which it managed to delay, but only temporarily.  PG&amp;E owed the PX a payment on October 31</w:t>
      </w:r>
      <w:r>
        <w:rPr>
          <w:vertAlign w:val="superscript"/>
        </w:rPr>
        <w:t>st</w:t>
      </w:r>
      <w:r>
        <w:rPr/>
        <w:t xml:space="preserve"> for energy purchases incurred on behalf of customers during August 2000 and, due to its undercollection, did not have sufficient cash to fund the payment obligation of approximately $800 million.  Additional forecasted payments to the PX for the remainder of 2000 total approximately $600 million, and there is an additional amount of approximately $380 million due in the first week of January 2001.  PG&amp;E’s only prudent alternative to avoid defaulting on its payment to the PX was to arrange bank credit facilities to provide an emergency credit backstop and to enter the debt capital markets to raise the necessary funds on a longer-term basis.  </w:t>
      </w:r>
    </w:p>
    <w:p>
      <w:pPr>
        <w:pStyle w:val="Body1"/>
        <w:rPr/>
      </w:pPr>
      <w:r>
        <w:rPr/>
        <w:t>Historically, raising money from bank lenders and bondholders has not been difficult for PG&amp;E; however, the prevailing stress conditions affecting PG&amp;E made raising these funds a particular challenge.  In general, creditors have three basic criteria by which they judge a credit in a regulated industry: (1) capacity to repay in the form of strong cash flow and balance sheet ratios, and (2) financial management practices as evidenced by historical behavior (i.e., management’s commitment to maintaining or improving its credit profile) and (3) the degree of stability and support from regulators.  Due to its historically conservative financial management practices and California’s record of constructive regulation, PG&amp;E was able to finance this “first shock” without paying extraordinary costs or suffering ratings downgrades.  However, given the state of wholesale power prices and the lack of regulatory certainty for recovery, the Company cannot demonstrate that it can generate sufficient cash flows to support large amounts of incremental indebtedness without its credit quality suffering dramatically.  Bank lenders, bondholders and the credit rating agencies, therefore, all relied heavily upon the Company’s reputation as a financially strong institution, together with the historically supportive behavior of the California regulators, and are giving the Company and the California market stakeholders a short grace period to develop a comprehensive solution to manage back to a balanced and stable financial condition.</w:t>
      </w:r>
    </w:p>
    <w:p>
      <w:pPr>
        <w:pStyle w:val="Body1"/>
        <w:rPr/>
      </w:pPr>
      <w:r>
        <w:rPr/>
        <w:t xml:space="preserve">The rating agencies have both expressed their concern about the financial strength of PG&amp;E under the current circumstances.  Both S&amp;P and Moody’s have commented publicly on the California energy markets and PG&amp;E’s situation.  While the agencies realize that the solution has not been formulated, they believe that the outcome will ensure that the utility remains financially sound and that the ratepayers are not overburdened.  Moody’s stated that they looked favorably upon the reopening of the regulatory treatment of the balancing account associated with the under collection of wholesale power costs, and the CPUC’s requirement of having PG&amp;E propose initial steps for providing interim relief for recovery of energy procurement costs.  In addition, Moody’s added that they were pleased to hear positive comments from the “Chairman of the CPUC on October 17, 2000 regarding the importance of maintaining the financial integrity of the utilities, including Pacific Gas and Electric Company.”  </w:t>
      </w:r>
    </w:p>
    <w:p>
      <w:pPr>
        <w:pStyle w:val="Body1"/>
        <w:rPr>
          <w:sz w:val="22"/>
        </w:rPr>
      </w:pPr>
      <w:r>
        <w:rPr/>
        <w:t>S&amp;P looked positively on the prospect that “A political solution addressing the volatile wholesale energy markets in California, including rate relief, could accelerate the return to a positive cash flow and the restoration of sound financial margins that are consistent with historical performance.”  S&amp;P further noted that “The commission has stated that its examination of cost recovery issues will be undertaken with an eye towards balancing the utility’s and its ratepayers’ interests” and stated that “it is likely that the commission will direct that the deficit be recovered over time to avoid rate shock.”</w:t>
      </w:r>
      <w:r>
        <w:rPr>
          <w:rStyle w:val="FootnoteCharacters"/>
        </w:rPr>
        <w:t>[</w:t>
      </w:r>
      <w:r>
        <w:rPr>
          <w:rStyle w:val="FootnoteCharacters"/>
          <w:rStyle w:val="FootnoteReference"/>
        </w:rPr>
        <w:footnoteReference w:id="2"/>
      </w:r>
      <w:r>
        <w:rPr>
          <w:rStyle w:val="FootnoteCharacters"/>
        </w:rPr>
        <w:t>]</w:t>
      </w:r>
      <w:r>
        <w:rPr/>
        <w:t xml:space="preserve">  The rating agencies’ comments indicate that they expect any proposed solution to improve the utilities’ financial positions and that it was not viable for the utilities to continue to borrow to make payments to the PX while being unable to recover their accumulated and going forward costs.</w:t>
      </w:r>
    </w:p>
    <w:p>
      <w:pPr>
        <w:pStyle w:val="Body1"/>
        <w:rPr/>
      </w:pPr>
      <w:r>
        <w:rPr/>
        <w:t xml:space="preserve">Despite PG&amp;E’s reputation, both lenders and bondholders sought protection from a possible deterioration in the Company’s creditworthiness in the form of higher coupons for lower levels of credit quality as measured by Moody’s and S&amp;P.  This protection is not sought after by bondholders under normal circumstances, especially for investment grade utilities, but is reflective of the uncertainty regarding the recovery of under-collected amounts, which directly affects PG&amp;E’s future.  </w:t>
      </w:r>
    </w:p>
    <w:p>
      <w:pPr>
        <w:pStyle w:val="Body1"/>
        <w:rPr/>
      </w:pPr>
      <w:r>
        <w:rPr/>
        <w:t>Furthermore, PG&amp;E is raising this money to cover operating costs, rather than to fund capital expenditures.  Creditors are typically reluctant to provide financing to cover operating costs as a borrower’s inability to cover such costs with operating revenues signals financial distress.  Finally, any decreased debt capacity would hinder the Company’s capital expenditure program, thus potentially affecting reliability and placing PG&amp;E’s core competencies at risk.  In addition, depending on the duration of the uncertainty, PG&amp;E’s ability to maintain cash flow to support and finance day-to-day operations could be affected, including maintenance activities, procurement of parts and materials, payroll, customer service, etc.  The terms under which PG&amp;E does day-to-day business with its vendors and trade creditors is likely to deteriorate, further affecting its costs of service.</w:t>
      </w:r>
    </w:p>
    <w:p>
      <w:pPr>
        <w:pStyle w:val="Body1"/>
        <w:rPr/>
      </w:pPr>
      <w:r>
        <w:rPr/>
        <w:t>Creditors have provided funding to PG&amp;E on the expectation that the Company will be able to recover the current undercollections within a reasonable period of time and that there will soon be a regulatory mechanism in place to prevent large undercollections in the future, and, to the extent there are undercollections, provide for their recovery.  If these conditions do not materialize well in advance of the Summer 2001 period, undercollections will continue to grow to levels that will cause significant damage to PG&amp;E’s financial position.  The following table illustrates the approximate Transition Revenue Account (“TRA”) balance and cash borrowing requirements assuming current undercollections are not recovered and power prices in 2001 and 2002 are similar to that experienced in 2000:</w:t>
      </w:r>
    </w:p>
    <w:p>
      <w:pPr>
        <w:pStyle w:val="Table"/>
        <w:suppressLineNumbers/>
        <w:rPr/>
      </w:pPr>
      <w:r>
        <w:rPr/>
      </w:r>
    </w:p>
    <w:tbl>
      <w:tblPr>
        <w:tblW w:w="6496" w:type="dxa"/>
        <w:jc w:val="center"/>
        <w:tblInd w:w="0" w:type="dxa"/>
        <w:tblLayout w:type="fixed"/>
        <w:tblCellMar>
          <w:top w:w="0" w:type="dxa"/>
          <w:start w:w="108" w:type="dxa"/>
          <w:bottom w:w="0" w:type="dxa"/>
          <w:end w:w="108" w:type="dxa"/>
        </w:tblCellMar>
      </w:tblPr>
      <w:tblGrid>
        <w:gridCol w:w="744"/>
        <w:gridCol w:w="3077"/>
        <w:gridCol w:w="891"/>
        <w:gridCol w:w="891"/>
        <w:gridCol w:w="893"/>
      </w:tblGrid>
      <w:tr>
        <w:trPr/>
        <w:tc>
          <w:tcPr>
            <w:tcW w:w="744" w:type="dxa"/>
            <w:tcBorders>
              <w:top w:val="single" w:sz="6" w:space="0" w:color="000000"/>
              <w:start w:val="single" w:sz="6" w:space="0" w:color="000000"/>
            </w:tcBorders>
          </w:tcPr>
          <w:p>
            <w:pPr>
              <w:pStyle w:val="Table-FirstRow"/>
              <w:pBdr>
                <w:bottom w:val="single" w:sz="6" w:space="1" w:color="000000"/>
              </w:pBdr>
              <w:spacing w:before="120" w:after="0"/>
              <w:jc w:val="center"/>
              <w:rPr/>
            </w:pPr>
            <w:r>
              <w:rPr/>
              <w:t>Line</w:t>
              <w:br/>
              <w:t>No</w:t>
            </w:r>
            <w:r>
              <w:rPr>
                <w:b/>
              </w:rPr>
              <w:t>.</w:t>
            </w:r>
          </w:p>
        </w:tc>
        <w:tc>
          <w:tcPr>
            <w:tcW w:w="3077" w:type="dxa"/>
            <w:tcBorders>
              <w:top w:val="single" w:sz="6" w:space="0" w:color="000000"/>
            </w:tcBorders>
          </w:tcPr>
          <w:p>
            <w:pPr>
              <w:pStyle w:val="Table-FirstRow"/>
              <w:spacing w:before="120" w:after="0"/>
              <w:rPr/>
            </w:pPr>
            <w:r>
              <w:rPr/>
              <w:br/>
              <w:t>($ in billions)</w:t>
            </w:r>
          </w:p>
        </w:tc>
        <w:tc>
          <w:tcPr>
            <w:tcW w:w="891" w:type="dxa"/>
            <w:tcBorders>
              <w:top w:val="single" w:sz="6" w:space="0" w:color="000000"/>
            </w:tcBorders>
          </w:tcPr>
          <w:p>
            <w:pPr>
              <w:pStyle w:val="Table-FirstRow"/>
              <w:pBdr>
                <w:bottom w:val="single" w:sz="6" w:space="1" w:color="000000"/>
              </w:pBdr>
              <w:spacing w:before="120" w:after="0"/>
              <w:jc w:val="center"/>
              <w:rPr>
                <w:b/>
              </w:rPr>
            </w:pPr>
            <w:r>
              <w:rPr>
                <w:b/>
              </w:rPr>
              <w:br/>
              <w:t>2000</w:t>
            </w:r>
          </w:p>
        </w:tc>
        <w:tc>
          <w:tcPr>
            <w:tcW w:w="891" w:type="dxa"/>
            <w:tcBorders>
              <w:top w:val="single" w:sz="6" w:space="0" w:color="000000"/>
            </w:tcBorders>
          </w:tcPr>
          <w:p>
            <w:pPr>
              <w:pStyle w:val="Table-FirstRow"/>
              <w:pBdr>
                <w:bottom w:val="single" w:sz="6" w:space="1" w:color="000000"/>
              </w:pBdr>
              <w:spacing w:before="120" w:after="0"/>
              <w:jc w:val="center"/>
              <w:rPr>
                <w:b/>
              </w:rPr>
            </w:pPr>
            <w:r>
              <w:rPr>
                <w:b/>
              </w:rPr>
              <w:br/>
              <w:t>2001</w:t>
            </w:r>
          </w:p>
        </w:tc>
        <w:tc>
          <w:tcPr>
            <w:tcW w:w="893" w:type="dxa"/>
            <w:tcBorders>
              <w:top w:val="single" w:sz="6" w:space="0" w:color="000000"/>
              <w:end w:val="single" w:sz="6" w:space="0" w:color="000000"/>
            </w:tcBorders>
          </w:tcPr>
          <w:p>
            <w:pPr>
              <w:pStyle w:val="Table-FirstRow"/>
              <w:pBdr>
                <w:bottom w:val="single" w:sz="6" w:space="1" w:color="000000"/>
              </w:pBdr>
              <w:spacing w:before="120" w:after="0"/>
              <w:jc w:val="center"/>
              <w:rPr>
                <w:b/>
              </w:rPr>
            </w:pPr>
            <w:r>
              <w:rPr>
                <w:b/>
              </w:rPr>
              <w:br/>
              <w:t>2002</w:t>
            </w:r>
          </w:p>
        </w:tc>
      </w:tr>
      <w:tr>
        <w:trPr/>
        <w:tc>
          <w:tcPr>
            <w:tcW w:w="744" w:type="dxa"/>
            <w:tcBorders>
              <w:start w:val="single" w:sz="6" w:space="0" w:color="000000"/>
            </w:tcBorders>
          </w:tcPr>
          <w:p>
            <w:pPr>
              <w:pStyle w:val="Table"/>
              <w:suppressLineNumbers/>
              <w:spacing w:before="120" w:after="0"/>
              <w:jc w:val="center"/>
              <w:rPr/>
            </w:pPr>
            <w:r>
              <w:rPr/>
              <w:t>1</w:t>
            </w:r>
          </w:p>
        </w:tc>
        <w:tc>
          <w:tcPr>
            <w:tcW w:w="3077" w:type="dxa"/>
            <w:tcBorders/>
          </w:tcPr>
          <w:p>
            <w:pPr>
              <w:pStyle w:val="Table"/>
              <w:suppressLineNumbers/>
              <w:spacing w:before="120" w:after="0"/>
              <w:rPr/>
            </w:pPr>
            <w:r>
              <w:rPr/>
              <w:t>Cumulative regulatory account balance</w:t>
            </w:r>
            <w:r>
              <w:rPr>
                <w:vertAlign w:val="superscript"/>
              </w:rPr>
              <w:t>(1)</w:t>
            </w:r>
          </w:p>
        </w:tc>
        <w:tc>
          <w:tcPr>
            <w:tcW w:w="891" w:type="dxa"/>
            <w:tcBorders/>
          </w:tcPr>
          <w:p>
            <w:pPr>
              <w:pStyle w:val="Table"/>
              <w:suppressLineNumbers/>
              <w:spacing w:before="120" w:after="0"/>
              <w:jc w:val="center"/>
              <w:rPr/>
            </w:pPr>
            <w:r>
              <w:rPr/>
              <w:t>$3.4</w:t>
            </w:r>
          </w:p>
        </w:tc>
        <w:tc>
          <w:tcPr>
            <w:tcW w:w="891" w:type="dxa"/>
            <w:tcBorders/>
          </w:tcPr>
          <w:p>
            <w:pPr>
              <w:pStyle w:val="Table"/>
              <w:suppressLineNumbers/>
              <w:spacing w:before="120" w:after="0"/>
              <w:jc w:val="center"/>
              <w:rPr/>
            </w:pPr>
            <w:r>
              <w:rPr/>
              <w:t>$5.6</w:t>
            </w:r>
          </w:p>
        </w:tc>
        <w:tc>
          <w:tcPr>
            <w:tcW w:w="893" w:type="dxa"/>
            <w:tcBorders>
              <w:end w:val="single" w:sz="6" w:space="0" w:color="000000"/>
            </w:tcBorders>
          </w:tcPr>
          <w:p>
            <w:pPr>
              <w:pStyle w:val="Table"/>
              <w:suppressLineNumbers/>
              <w:spacing w:before="120" w:after="0"/>
              <w:jc w:val="center"/>
              <w:rPr/>
            </w:pPr>
            <w:r>
              <w:rPr/>
              <w:t>$8.5</w:t>
            </w:r>
          </w:p>
        </w:tc>
      </w:tr>
      <w:tr>
        <w:trPr/>
        <w:tc>
          <w:tcPr>
            <w:tcW w:w="744" w:type="dxa"/>
            <w:tcBorders>
              <w:start w:val="single" w:sz="6" w:space="0" w:color="000000"/>
            </w:tcBorders>
          </w:tcPr>
          <w:p>
            <w:pPr>
              <w:pStyle w:val="Table"/>
              <w:suppressLineNumbers/>
              <w:spacing w:before="120" w:after="0"/>
              <w:jc w:val="center"/>
              <w:rPr/>
            </w:pPr>
            <w:r>
              <w:rPr/>
              <w:t>2</w:t>
            </w:r>
          </w:p>
        </w:tc>
        <w:tc>
          <w:tcPr>
            <w:tcW w:w="3077" w:type="dxa"/>
            <w:tcBorders/>
          </w:tcPr>
          <w:p>
            <w:pPr>
              <w:pStyle w:val="Table"/>
              <w:suppressLineNumbers/>
              <w:spacing w:before="120" w:after="0"/>
              <w:rPr/>
            </w:pPr>
            <w:r>
              <w:rPr/>
              <w:t>Annual net debt financing need</w:t>
            </w:r>
          </w:p>
        </w:tc>
        <w:tc>
          <w:tcPr>
            <w:tcW w:w="891" w:type="dxa"/>
            <w:tcBorders/>
          </w:tcPr>
          <w:p>
            <w:pPr>
              <w:pStyle w:val="Table"/>
              <w:suppressLineNumbers/>
              <w:spacing w:before="120" w:after="0"/>
              <w:jc w:val="center"/>
              <w:rPr/>
            </w:pPr>
            <w:r>
              <w:rPr/>
              <w:t>$2.0</w:t>
            </w:r>
          </w:p>
        </w:tc>
        <w:tc>
          <w:tcPr>
            <w:tcW w:w="891" w:type="dxa"/>
            <w:tcBorders/>
          </w:tcPr>
          <w:p>
            <w:pPr>
              <w:pStyle w:val="Table"/>
              <w:suppressLineNumbers/>
              <w:spacing w:before="120" w:after="0"/>
              <w:jc w:val="center"/>
              <w:rPr/>
            </w:pPr>
            <w:r>
              <w:rPr/>
              <w:t>$1.6</w:t>
            </w:r>
          </w:p>
        </w:tc>
        <w:tc>
          <w:tcPr>
            <w:tcW w:w="893" w:type="dxa"/>
            <w:tcBorders>
              <w:end w:val="single" w:sz="6" w:space="0" w:color="000000"/>
            </w:tcBorders>
          </w:tcPr>
          <w:p>
            <w:pPr>
              <w:pStyle w:val="Table"/>
              <w:suppressLineNumbers/>
              <w:spacing w:before="120" w:after="0"/>
              <w:jc w:val="center"/>
              <w:rPr/>
            </w:pPr>
            <w:r>
              <w:rPr/>
              <w:t>$1.5</w:t>
            </w:r>
          </w:p>
        </w:tc>
      </w:tr>
      <w:tr>
        <w:trPr/>
        <w:tc>
          <w:tcPr>
            <w:tcW w:w="744" w:type="dxa"/>
            <w:tcBorders>
              <w:start w:val="single" w:sz="6" w:space="0" w:color="000000"/>
            </w:tcBorders>
          </w:tcPr>
          <w:p>
            <w:pPr>
              <w:pStyle w:val="Table"/>
              <w:suppressLineNumbers/>
              <w:spacing w:before="120" w:after="0"/>
              <w:jc w:val="center"/>
              <w:rPr/>
            </w:pPr>
            <w:r>
              <w:rPr/>
              <w:t>3</w:t>
            </w:r>
          </w:p>
        </w:tc>
        <w:tc>
          <w:tcPr>
            <w:tcW w:w="3077" w:type="dxa"/>
            <w:tcBorders/>
          </w:tcPr>
          <w:p>
            <w:pPr>
              <w:pStyle w:val="Table"/>
              <w:suppressLineNumbers/>
              <w:spacing w:before="120" w:after="0"/>
              <w:rPr/>
            </w:pPr>
            <w:r>
              <w:rPr/>
              <w:t>Short-term Debt Balance</w:t>
            </w:r>
          </w:p>
        </w:tc>
        <w:tc>
          <w:tcPr>
            <w:tcW w:w="891" w:type="dxa"/>
            <w:tcBorders/>
          </w:tcPr>
          <w:p>
            <w:pPr>
              <w:pStyle w:val="Table"/>
              <w:suppressLineNumbers/>
              <w:spacing w:before="120" w:after="0"/>
              <w:jc w:val="center"/>
              <w:rPr/>
            </w:pPr>
            <w:r>
              <w:rPr/>
              <w:t>$2.5</w:t>
            </w:r>
          </w:p>
        </w:tc>
        <w:tc>
          <w:tcPr>
            <w:tcW w:w="891" w:type="dxa"/>
            <w:tcBorders/>
          </w:tcPr>
          <w:p>
            <w:pPr>
              <w:pStyle w:val="Table"/>
              <w:suppressLineNumbers/>
              <w:spacing w:before="120" w:after="0"/>
              <w:jc w:val="center"/>
              <w:rPr/>
            </w:pPr>
            <w:r>
              <w:rPr/>
              <w:t>$3.5</w:t>
            </w:r>
          </w:p>
        </w:tc>
        <w:tc>
          <w:tcPr>
            <w:tcW w:w="893" w:type="dxa"/>
            <w:tcBorders>
              <w:end w:val="single" w:sz="6" w:space="0" w:color="000000"/>
            </w:tcBorders>
          </w:tcPr>
          <w:p>
            <w:pPr>
              <w:pStyle w:val="Table"/>
              <w:suppressLineNumbers/>
              <w:spacing w:before="120" w:after="0"/>
              <w:jc w:val="center"/>
              <w:rPr/>
            </w:pPr>
            <w:r>
              <w:rPr/>
              <w:t>$3.2</w:t>
            </w:r>
          </w:p>
        </w:tc>
      </w:tr>
      <w:tr>
        <w:trPr/>
        <w:tc>
          <w:tcPr>
            <w:tcW w:w="744" w:type="dxa"/>
            <w:tcBorders>
              <w:start w:val="single" w:sz="6" w:space="0" w:color="000000"/>
            </w:tcBorders>
          </w:tcPr>
          <w:p>
            <w:pPr>
              <w:pStyle w:val="Table"/>
              <w:suppressLineNumbers/>
              <w:spacing w:before="120" w:after="0"/>
              <w:jc w:val="center"/>
              <w:rPr/>
            </w:pPr>
            <w:r>
              <w:rPr/>
              <w:t>4</w:t>
            </w:r>
          </w:p>
        </w:tc>
        <w:tc>
          <w:tcPr>
            <w:tcW w:w="3077" w:type="dxa"/>
            <w:tcBorders/>
          </w:tcPr>
          <w:p>
            <w:pPr>
              <w:pStyle w:val="Table"/>
              <w:suppressLineNumbers/>
              <w:spacing w:before="120" w:after="0"/>
              <w:rPr/>
            </w:pPr>
            <w:r>
              <w:rPr/>
              <w:t>FFO</w:t>
            </w:r>
            <w:r>
              <w:rPr>
                <w:vertAlign w:val="superscript"/>
              </w:rPr>
              <w:t>(2)</w:t>
            </w:r>
            <w:r>
              <w:rPr/>
              <w:t xml:space="preserve"> interest coverage</w:t>
            </w:r>
          </w:p>
        </w:tc>
        <w:tc>
          <w:tcPr>
            <w:tcW w:w="891" w:type="dxa"/>
            <w:tcBorders/>
          </w:tcPr>
          <w:p>
            <w:pPr>
              <w:pStyle w:val="Table"/>
              <w:suppressLineNumbers/>
              <w:spacing w:before="120" w:after="0"/>
              <w:jc w:val="center"/>
              <w:rPr/>
            </w:pPr>
            <w:r>
              <w:rPr/>
              <w:t>1.4x</w:t>
            </w:r>
          </w:p>
        </w:tc>
        <w:tc>
          <w:tcPr>
            <w:tcW w:w="891" w:type="dxa"/>
            <w:tcBorders/>
          </w:tcPr>
          <w:p>
            <w:pPr>
              <w:pStyle w:val="Table"/>
              <w:suppressLineNumbers/>
              <w:spacing w:before="120" w:after="0"/>
              <w:jc w:val="center"/>
              <w:rPr/>
            </w:pPr>
            <w:r>
              <w:rPr/>
              <w:t>1.7x</w:t>
            </w:r>
          </w:p>
        </w:tc>
        <w:tc>
          <w:tcPr>
            <w:tcW w:w="893" w:type="dxa"/>
            <w:tcBorders>
              <w:end w:val="single" w:sz="6" w:space="0" w:color="000000"/>
            </w:tcBorders>
          </w:tcPr>
          <w:p>
            <w:pPr>
              <w:pStyle w:val="Table"/>
              <w:suppressLineNumbers/>
              <w:spacing w:before="120" w:after="0"/>
              <w:jc w:val="center"/>
              <w:rPr/>
            </w:pPr>
            <w:r>
              <w:rPr/>
              <w:t>1.4x</w:t>
            </w:r>
          </w:p>
        </w:tc>
      </w:tr>
      <w:tr>
        <w:trPr/>
        <w:tc>
          <w:tcPr>
            <w:tcW w:w="744" w:type="dxa"/>
            <w:tcBorders>
              <w:start w:val="single" w:sz="6" w:space="0" w:color="000000"/>
            </w:tcBorders>
          </w:tcPr>
          <w:p>
            <w:pPr>
              <w:pStyle w:val="Table"/>
              <w:suppressLineNumbers/>
              <w:spacing w:before="120" w:after="0"/>
              <w:jc w:val="center"/>
              <w:rPr/>
            </w:pPr>
            <w:r>
              <w:rPr/>
              <w:t>5</w:t>
            </w:r>
          </w:p>
        </w:tc>
        <w:tc>
          <w:tcPr>
            <w:tcW w:w="3077" w:type="dxa"/>
            <w:tcBorders/>
          </w:tcPr>
          <w:p>
            <w:pPr>
              <w:pStyle w:val="Table"/>
              <w:suppressLineNumbers/>
              <w:spacing w:before="120" w:after="0"/>
              <w:rPr/>
            </w:pPr>
            <w:r>
              <w:rPr/>
              <w:t>Total debt to total capitalization</w:t>
            </w:r>
          </w:p>
        </w:tc>
        <w:tc>
          <w:tcPr>
            <w:tcW w:w="891" w:type="dxa"/>
            <w:tcBorders/>
          </w:tcPr>
          <w:p>
            <w:pPr>
              <w:pStyle w:val="Table"/>
              <w:suppressLineNumbers/>
              <w:spacing w:before="120" w:after="0"/>
              <w:jc w:val="center"/>
              <w:rPr/>
            </w:pPr>
            <w:r>
              <w:rPr/>
              <w:t>55.1%</w:t>
            </w:r>
          </w:p>
        </w:tc>
        <w:tc>
          <w:tcPr>
            <w:tcW w:w="891" w:type="dxa"/>
            <w:tcBorders/>
          </w:tcPr>
          <w:p>
            <w:pPr>
              <w:pStyle w:val="Table"/>
              <w:suppressLineNumbers/>
              <w:spacing w:before="120" w:after="0"/>
              <w:jc w:val="center"/>
              <w:rPr/>
            </w:pPr>
            <w:r>
              <w:rPr/>
              <w:t>57.7%</w:t>
            </w:r>
          </w:p>
        </w:tc>
        <w:tc>
          <w:tcPr>
            <w:tcW w:w="893" w:type="dxa"/>
            <w:tcBorders>
              <w:end w:val="single" w:sz="6" w:space="0" w:color="000000"/>
            </w:tcBorders>
          </w:tcPr>
          <w:p>
            <w:pPr>
              <w:pStyle w:val="Table"/>
              <w:suppressLineNumbers/>
              <w:spacing w:before="120" w:after="0"/>
              <w:jc w:val="center"/>
              <w:rPr/>
            </w:pPr>
            <w:r>
              <w:rPr/>
              <w:t>54.6%</w:t>
            </w:r>
          </w:p>
        </w:tc>
      </w:tr>
      <w:tr>
        <w:trPr/>
        <w:tc>
          <w:tcPr>
            <w:tcW w:w="6496" w:type="dxa"/>
            <w:gridSpan w:val="5"/>
            <w:tcBorders>
              <w:start w:val="single" w:sz="6" w:space="0" w:color="000000"/>
              <w:bottom w:val="single" w:sz="6" w:space="0" w:color="000000"/>
              <w:end w:val="single" w:sz="6" w:space="0" w:color="000000"/>
            </w:tcBorders>
          </w:tcPr>
          <w:p>
            <w:pPr>
              <w:pStyle w:val="Table"/>
              <w:suppressLineNumbers/>
              <w:snapToGrid w:val="false"/>
              <w:rPr>
                <w:rFonts w:ascii="Times New Roman" w:hAnsi="Times New Roman" w:cs="Times New Roman"/>
                <w:sz w:val="14"/>
              </w:rPr>
            </w:pPr>
            <w:r>
              <w:rPr>
                <w:rFonts w:cs="Times New Roman" w:ascii="Times New Roman" w:hAnsi="Times New Roman"/>
                <w:sz w:val="14"/>
              </w:rPr>
            </w:r>
          </w:p>
          <w:p>
            <w:pPr>
              <w:pStyle w:val="Table"/>
              <w:suppressLineNumbers/>
              <w:rPr>
                <w:sz w:val="14"/>
              </w:rPr>
            </w:pPr>
            <w:r>
              <w:rPr>
                <w:sz w:val="14"/>
              </w:rPr>
            </w:r>
          </w:p>
          <w:p>
            <w:pPr>
              <w:pStyle w:val="Table"/>
              <w:suppressLineNumbers/>
              <w:rPr>
                <w:sz w:val="14"/>
              </w:rPr>
            </w:pPr>
            <w:r>
              <w:rPr>
                <w:sz w:val="14"/>
              </w:rPr>
              <w:t>Source:  Pacific Gas and Electric Company</w:t>
            </w:r>
          </w:p>
          <w:p>
            <w:pPr>
              <w:pStyle w:val="Table"/>
              <w:suppressLineNumbers/>
              <w:rPr>
                <w:sz w:val="14"/>
              </w:rPr>
            </w:pPr>
            <w:r>
              <w:rPr>
                <w:sz w:val="14"/>
              </w:rPr>
              <w:t>(1) Approximation</w:t>
            </w:r>
          </w:p>
          <w:p>
            <w:pPr>
              <w:pStyle w:val="Table"/>
              <w:suppressLineNumbers/>
              <w:rPr>
                <w:sz w:val="14"/>
              </w:rPr>
            </w:pPr>
            <w:r>
              <w:rPr>
                <w:sz w:val="14"/>
              </w:rPr>
              <w:t>(2) FFO = Funds From Operations</w:t>
            </w:r>
          </w:p>
        </w:tc>
      </w:tr>
    </w:tbl>
    <w:p>
      <w:pPr>
        <w:pStyle w:val="Table"/>
        <w:suppressLineNumbers/>
        <w:rPr/>
      </w:pPr>
      <w:r>
        <w:rPr/>
      </w:r>
    </w:p>
    <w:p>
      <w:pPr>
        <w:pStyle w:val="Body1"/>
        <w:rPr/>
      </w:pPr>
      <w:r>
        <w:rPr/>
        <w:t xml:space="preserve">If this past summer’s conditions were to repeat in 2001 and 2002, the cumulative TRA balance would swell to approximately $10 billion and the Company would need to raise approximately $1 billion to $5 billion of net new debt in each of these years for a cumulative net debt financing requirement of approximately $5 billion over that three year period.  FFO (Funds From Operation) interest coverage would drop to 1.4 times, and total debt to total capitalization exceeds 57 percent.  By contrast in 1999, the Company’s FFO interest coverage was over 5.0 times and total debt to total capitalization stood at 50 percent.  </w:t>
      </w:r>
    </w:p>
    <w:p>
      <w:pPr>
        <w:pStyle w:val="Body1"/>
        <w:rPr/>
      </w:pPr>
      <w:r>
        <w:rPr/>
        <w:t xml:space="preserve">PG&amp;E’s financial condition has already suffered greatly and will continue to deteriorate rapidly if the current situation is left unchecked.  In addition, the Company’s financial difficulties would be compounded as lenders and bondholders would not likely provide any additional funding without a clear resolution, thus raising the issue of sustainability of liquidity.  In addition to funding shortfalls in its obligations to the PX, the Company has several series of commercial paper, other short-term obligations and bonds which will mature in ordinary course and need to be refinanced over the next year, including a significant short-term portion of the financing recently obtained to fund payments to the PX.  </w:t>
      </w:r>
    </w:p>
    <w:p>
      <w:pPr>
        <w:pStyle w:val="Body1"/>
        <w:rPr/>
      </w:pPr>
      <w:r>
        <w:rPr/>
        <w:t xml:space="preserve">If creditors lose confidence in the Company they would be reluctant to provide any new money and PG&amp;E would likely become insolvent, default on its obligation to the PX or on a maturing bond issue and be forced into bankruptcy.  Finally, it is extremely important to recognize that PG&amp;E’s access to commercial paper markets will be at significant risk on almost a day-to-day basis until the undercollection problem is resolved.  This is because, given the Company’s need for short-term borrowings, the loss of A1/P1 ratings would have a significant impact on both the access to and cost of the short-term capital markets.  A small downward movement in long-term credit ratings to A3/A- by Moody’s and S&amp;P, respectively, would likely result in the loss of A1/P1 ratings and a significant decrease in short-term liquidity.  </w:t>
      </w:r>
    </w:p>
    <w:p>
      <w:pPr>
        <w:pStyle w:val="Heading1"/>
        <w:ind w:firstLine="432" w:start="0"/>
        <w:rPr/>
      </w:pPr>
      <w:bookmarkStart w:id="2" w:name="__RefHeading___Toc499524262"/>
      <w:bookmarkEnd w:id="2"/>
      <w:r>
        <w:rPr/>
        <w:t>Creditors’ Expectations on Timing and Nature of Regulatory Resolution</w:t>
      </w:r>
    </w:p>
    <w:p>
      <w:pPr>
        <w:pStyle w:val="Body1"/>
        <w:rPr/>
      </w:pPr>
      <w:r>
        <w:rPr/>
        <w:t>There have been no significant additions to generating capacity in California for about 10 years and there is limited capacity scheduled to come online over the next few years.  This creates a great deal of uncertainty about summertime wholesale power prices over the next few years, and conditions are unlikely to get significantly better in the near term.  As previously discussed, lenders and bondholders have provided financing to PG&amp;E based on its reputation and on the expectation that a satisfactory regulatory resolution to the Company’s financial crisis will be defined and implemented in the near term.  Furthermore, the credit rating agencies have thus far refrained from taking negative rating actions for the Company based upon similar expectations.  These bodies have given PG&amp;E and California regulators the benefit of the doubt.  If they do not witness real progress during the ensuing months and if a satisfactory ultimate resolution is not adopted well in advance of the summer of 2001, PG&amp;E would likely see its credit rating erode significantly and could be denied access to financing.  This would have a disastrous effect on all interested parties.</w:t>
      </w:r>
    </w:p>
    <w:p>
      <w:pPr>
        <w:pStyle w:val="Body1"/>
        <w:rPr/>
      </w:pPr>
      <w:r>
        <w:rPr/>
        <w:t>With regard to the nature of the regulatory resolution, creditors and the rating agencies need two certainties:  (1) recovery of undercollections to repay indebtedness incurred to finance the shortfall and (2) a mechanism to prevent the accrual of massive undercollections to the detriment of the Company in the future.  Part of being a highly-rated electric utility is having certainty and predictability of cash flows.  Absent regulatory action, PG&amp;E currently does not embody these characteristics.</w:t>
      </w:r>
    </w:p>
    <w:p>
      <w:pPr>
        <w:pStyle w:val="Heading1"/>
        <w:ind w:firstLine="432" w:start="0"/>
        <w:rPr/>
      </w:pPr>
      <w:bookmarkStart w:id="3" w:name="__RefHeading___Toc499524263"/>
      <w:bookmarkEnd w:id="3"/>
      <w:r>
        <w:rPr/>
        <w:t>Rate Stabilization Plan</w:t>
      </w:r>
    </w:p>
    <w:p>
      <w:pPr>
        <w:pStyle w:val="Body1"/>
        <w:rPr/>
      </w:pPr>
      <w:r>
        <w:rPr/>
        <w:t>In order to remain a viable entity with access to financing from bank lenders and bondholders, a comprehensive rate stabilization plan (RSP) must be adopted.  Any satisfactory plan must provide for an increase in current cash flow commensurate with wholesale power prices and certainty of recovery of undercollections in a predictable and expeditious manner.  The Company has created a set of illustrative projections that incorporate a best estimate forecast of future power prices.  These projections also incorporate a 1.1 cents increase in the generation component of retail rates to 6.5 cents, plus amounts necessary to recover ongoing purchased power transition costs and the current regulatory account balances (the actual increase necessary would depend upon actual PX prices and the amount of additional financing attributable to such PX prices).  Because of the compounding nature of PG&amp;E’s power cost undercollection problem, it is clear that the longer it takes to end PG&amp;E’s rate freeze, the greater the rate necessary to recover the under-collection becomes.  Thus, the increase once initiated does not immediately return the Company to its previously strong financial position is to be as illustrated in the following table.</w:t>
      </w:r>
    </w:p>
    <w:p>
      <w:pPr>
        <w:pStyle w:val="Normal"/>
        <w:spacing w:lineRule="auto" w:line="240"/>
        <w:ind w:start="720" w:end="0"/>
        <w:rPr/>
      </w:pPr>
      <w:r>
        <w:rPr/>
      </w:r>
    </w:p>
    <w:p>
      <w:pPr>
        <w:pStyle w:val="Table"/>
        <w:suppressLineNumbers/>
        <w:rPr/>
      </w:pPr>
      <w:r>
        <w:rPr/>
      </w:r>
    </w:p>
    <w:tbl>
      <w:tblPr>
        <w:tblW w:w="7061" w:type="dxa"/>
        <w:jc w:val="center"/>
        <w:tblInd w:w="0" w:type="dxa"/>
        <w:tblLayout w:type="fixed"/>
        <w:tblCellMar>
          <w:top w:w="0" w:type="dxa"/>
          <w:start w:w="108" w:type="dxa"/>
          <w:bottom w:w="0" w:type="dxa"/>
          <w:end w:w="108" w:type="dxa"/>
        </w:tblCellMar>
      </w:tblPr>
      <w:tblGrid>
        <w:gridCol w:w="811"/>
        <w:gridCol w:w="2970"/>
        <w:gridCol w:w="810"/>
        <w:gridCol w:w="801"/>
        <w:gridCol w:w="806"/>
        <w:gridCol w:w="863"/>
      </w:tblGrid>
      <w:tr>
        <w:trPr/>
        <w:tc>
          <w:tcPr>
            <w:tcW w:w="811" w:type="dxa"/>
            <w:tcBorders>
              <w:top w:val="single" w:sz="6" w:space="0" w:color="000000"/>
              <w:start w:val="single" w:sz="6" w:space="0" w:color="000000"/>
            </w:tcBorders>
          </w:tcPr>
          <w:p>
            <w:pPr>
              <w:pStyle w:val="Table-FirstRow"/>
              <w:pBdr>
                <w:bottom w:val="single" w:sz="6" w:space="1" w:color="000000"/>
              </w:pBdr>
              <w:spacing w:before="120" w:after="0"/>
              <w:jc w:val="center"/>
              <w:rPr/>
            </w:pPr>
            <w:r>
              <w:rPr/>
              <w:t>Line</w:t>
              <w:br/>
              <w:t>No</w:t>
            </w:r>
            <w:r>
              <w:rPr>
                <w:b/>
              </w:rPr>
              <w:t>.</w:t>
            </w:r>
          </w:p>
        </w:tc>
        <w:tc>
          <w:tcPr>
            <w:tcW w:w="2970" w:type="dxa"/>
            <w:tcBorders>
              <w:top w:val="single" w:sz="6" w:space="0" w:color="000000"/>
            </w:tcBorders>
          </w:tcPr>
          <w:p>
            <w:pPr>
              <w:pStyle w:val="Table-FirstRow"/>
              <w:spacing w:before="120" w:after="0"/>
              <w:rPr/>
            </w:pPr>
            <w:r>
              <w:rPr/>
              <w:br/>
              <w:t>($ in billions)</w:t>
            </w:r>
          </w:p>
        </w:tc>
        <w:tc>
          <w:tcPr>
            <w:tcW w:w="810" w:type="dxa"/>
            <w:tcBorders>
              <w:top w:val="single" w:sz="6" w:space="0" w:color="000000"/>
            </w:tcBorders>
          </w:tcPr>
          <w:p>
            <w:pPr>
              <w:pStyle w:val="Table-FirstRow"/>
              <w:pBdr>
                <w:bottom w:val="single" w:sz="6" w:space="1" w:color="000000"/>
              </w:pBdr>
              <w:spacing w:before="120" w:after="0"/>
              <w:jc w:val="center"/>
              <w:rPr>
                <w:b/>
              </w:rPr>
            </w:pPr>
            <w:r>
              <w:rPr>
                <w:b/>
              </w:rPr>
              <w:br/>
              <w:t>2000</w:t>
            </w:r>
          </w:p>
        </w:tc>
        <w:tc>
          <w:tcPr>
            <w:tcW w:w="801" w:type="dxa"/>
            <w:tcBorders>
              <w:top w:val="single" w:sz="6" w:space="0" w:color="000000"/>
            </w:tcBorders>
          </w:tcPr>
          <w:p>
            <w:pPr>
              <w:pStyle w:val="Table-FirstRow"/>
              <w:pBdr>
                <w:bottom w:val="single" w:sz="6" w:space="1" w:color="000000"/>
              </w:pBdr>
              <w:spacing w:before="120" w:after="0"/>
              <w:jc w:val="center"/>
              <w:rPr>
                <w:b/>
              </w:rPr>
            </w:pPr>
            <w:r>
              <w:rPr>
                <w:b/>
              </w:rPr>
              <w:br/>
              <w:t>2001</w:t>
            </w:r>
          </w:p>
        </w:tc>
        <w:tc>
          <w:tcPr>
            <w:tcW w:w="806" w:type="dxa"/>
            <w:tcBorders>
              <w:top w:val="single" w:sz="6" w:space="0" w:color="000000"/>
            </w:tcBorders>
          </w:tcPr>
          <w:p>
            <w:pPr>
              <w:pStyle w:val="Table-FirstRow"/>
              <w:pBdr>
                <w:bottom w:val="single" w:sz="6" w:space="1" w:color="000000"/>
              </w:pBdr>
              <w:spacing w:before="120" w:after="0"/>
              <w:jc w:val="center"/>
              <w:rPr>
                <w:b/>
              </w:rPr>
            </w:pPr>
            <w:r>
              <w:rPr>
                <w:b/>
              </w:rPr>
              <w:br/>
              <w:t>2002</w:t>
            </w:r>
          </w:p>
        </w:tc>
        <w:tc>
          <w:tcPr>
            <w:tcW w:w="863" w:type="dxa"/>
            <w:tcBorders>
              <w:top w:val="single" w:sz="6" w:space="0" w:color="000000"/>
              <w:end w:val="single" w:sz="6" w:space="0" w:color="000000"/>
            </w:tcBorders>
          </w:tcPr>
          <w:p>
            <w:pPr>
              <w:pStyle w:val="Table-FirstRow"/>
              <w:pBdr>
                <w:bottom w:val="single" w:sz="6" w:space="1" w:color="000000"/>
              </w:pBdr>
              <w:spacing w:before="120" w:after="0"/>
              <w:jc w:val="center"/>
              <w:rPr>
                <w:b/>
              </w:rPr>
            </w:pPr>
            <w:r>
              <w:rPr>
                <w:b/>
              </w:rPr>
              <w:br/>
              <w:t>2003</w:t>
            </w:r>
          </w:p>
        </w:tc>
      </w:tr>
      <w:tr>
        <w:trPr/>
        <w:tc>
          <w:tcPr>
            <w:tcW w:w="811" w:type="dxa"/>
            <w:tcBorders>
              <w:start w:val="single" w:sz="6" w:space="0" w:color="000000"/>
            </w:tcBorders>
          </w:tcPr>
          <w:p>
            <w:pPr>
              <w:pStyle w:val="Table"/>
              <w:suppressLineNumbers/>
              <w:spacing w:before="120" w:after="0"/>
              <w:jc w:val="center"/>
              <w:rPr/>
            </w:pPr>
            <w:r>
              <w:rPr/>
              <w:t>1</w:t>
            </w:r>
          </w:p>
        </w:tc>
        <w:tc>
          <w:tcPr>
            <w:tcW w:w="2970" w:type="dxa"/>
            <w:tcBorders/>
          </w:tcPr>
          <w:p>
            <w:pPr>
              <w:pStyle w:val="Table"/>
              <w:suppressLineNumbers/>
              <w:spacing w:before="120" w:after="0"/>
              <w:rPr/>
            </w:pPr>
            <w:r>
              <w:rPr/>
              <w:t>Cumulative regulatory account balances</w:t>
            </w:r>
            <w:r>
              <w:rPr>
                <w:vertAlign w:val="superscript"/>
              </w:rPr>
              <w:t>(1)</w:t>
            </w:r>
          </w:p>
        </w:tc>
        <w:tc>
          <w:tcPr>
            <w:tcW w:w="810" w:type="dxa"/>
            <w:tcBorders/>
          </w:tcPr>
          <w:p>
            <w:pPr>
              <w:pStyle w:val="Table"/>
              <w:suppressLineNumbers/>
              <w:spacing w:before="120" w:after="0"/>
              <w:jc w:val="center"/>
              <w:rPr/>
            </w:pPr>
            <w:r>
              <w:rPr/>
              <w:t>$3.4</w:t>
            </w:r>
          </w:p>
        </w:tc>
        <w:tc>
          <w:tcPr>
            <w:tcW w:w="801" w:type="dxa"/>
            <w:tcBorders/>
          </w:tcPr>
          <w:p>
            <w:pPr>
              <w:pStyle w:val="Table"/>
              <w:suppressLineNumbers/>
              <w:spacing w:before="120" w:after="0"/>
              <w:jc w:val="center"/>
              <w:rPr/>
            </w:pPr>
            <w:r>
              <w:rPr/>
              <w:t>$4.3</w:t>
            </w:r>
          </w:p>
        </w:tc>
        <w:tc>
          <w:tcPr>
            <w:tcW w:w="806" w:type="dxa"/>
            <w:tcBorders/>
          </w:tcPr>
          <w:p>
            <w:pPr>
              <w:pStyle w:val="Table"/>
              <w:suppressLineNumbers/>
              <w:spacing w:before="120" w:after="0"/>
              <w:jc w:val="center"/>
              <w:rPr/>
            </w:pPr>
            <w:r>
              <w:rPr/>
              <w:t>$4.1</w:t>
            </w:r>
          </w:p>
        </w:tc>
        <w:tc>
          <w:tcPr>
            <w:tcW w:w="863" w:type="dxa"/>
            <w:tcBorders>
              <w:end w:val="single" w:sz="6" w:space="0" w:color="000000"/>
            </w:tcBorders>
          </w:tcPr>
          <w:p>
            <w:pPr>
              <w:pStyle w:val="Table"/>
              <w:suppressLineNumbers/>
              <w:spacing w:before="120" w:after="0"/>
              <w:jc w:val="center"/>
              <w:rPr/>
            </w:pPr>
            <w:r>
              <w:rPr/>
              <w:t>$1.6</w:t>
            </w:r>
          </w:p>
        </w:tc>
      </w:tr>
      <w:tr>
        <w:trPr/>
        <w:tc>
          <w:tcPr>
            <w:tcW w:w="811" w:type="dxa"/>
            <w:tcBorders>
              <w:start w:val="single" w:sz="6" w:space="0" w:color="000000"/>
            </w:tcBorders>
          </w:tcPr>
          <w:p>
            <w:pPr>
              <w:pStyle w:val="Table"/>
              <w:suppressLineNumbers/>
              <w:spacing w:before="120" w:after="0"/>
              <w:jc w:val="center"/>
              <w:rPr/>
            </w:pPr>
            <w:r>
              <w:rPr/>
              <w:t>2</w:t>
            </w:r>
          </w:p>
        </w:tc>
        <w:tc>
          <w:tcPr>
            <w:tcW w:w="2970" w:type="dxa"/>
            <w:tcBorders/>
          </w:tcPr>
          <w:p>
            <w:pPr>
              <w:pStyle w:val="Table"/>
              <w:suppressLineNumbers/>
              <w:spacing w:before="120" w:after="0"/>
              <w:rPr/>
            </w:pPr>
            <w:r>
              <w:rPr/>
              <w:t>Annual net debt financing need</w:t>
            </w:r>
          </w:p>
        </w:tc>
        <w:tc>
          <w:tcPr>
            <w:tcW w:w="810" w:type="dxa"/>
            <w:tcBorders/>
          </w:tcPr>
          <w:p>
            <w:pPr>
              <w:pStyle w:val="Table"/>
              <w:suppressLineNumbers/>
              <w:spacing w:before="120" w:after="0"/>
              <w:jc w:val="center"/>
              <w:rPr/>
            </w:pPr>
            <w:r>
              <w:rPr/>
              <w:t>$2.0</w:t>
            </w:r>
          </w:p>
        </w:tc>
        <w:tc>
          <w:tcPr>
            <w:tcW w:w="801" w:type="dxa"/>
            <w:tcBorders/>
          </w:tcPr>
          <w:p>
            <w:pPr>
              <w:pStyle w:val="Table"/>
              <w:suppressLineNumbers/>
              <w:spacing w:before="120" w:after="0"/>
              <w:jc w:val="center"/>
              <w:rPr/>
            </w:pPr>
            <w:r>
              <w:rPr/>
              <w:t>$0.6</w:t>
            </w:r>
          </w:p>
        </w:tc>
        <w:tc>
          <w:tcPr>
            <w:tcW w:w="806" w:type="dxa"/>
            <w:tcBorders/>
          </w:tcPr>
          <w:p>
            <w:pPr>
              <w:pStyle w:val="Table"/>
              <w:suppressLineNumbers/>
              <w:spacing w:before="120" w:after="0"/>
              <w:jc w:val="center"/>
              <w:rPr/>
            </w:pPr>
            <w:r>
              <w:rPr/>
              <w:t>$0.4</w:t>
            </w:r>
          </w:p>
        </w:tc>
        <w:tc>
          <w:tcPr>
            <w:tcW w:w="863" w:type="dxa"/>
            <w:tcBorders>
              <w:end w:val="single" w:sz="6" w:space="0" w:color="000000"/>
            </w:tcBorders>
          </w:tcPr>
          <w:p>
            <w:pPr>
              <w:pStyle w:val="Table"/>
              <w:suppressLineNumbers/>
              <w:spacing w:before="120" w:after="0"/>
              <w:jc w:val="center"/>
              <w:rPr/>
            </w:pPr>
            <w:r>
              <w:rPr/>
              <w:t>($1.3)</w:t>
            </w:r>
          </w:p>
        </w:tc>
      </w:tr>
      <w:tr>
        <w:trPr/>
        <w:tc>
          <w:tcPr>
            <w:tcW w:w="811" w:type="dxa"/>
            <w:tcBorders>
              <w:start w:val="single" w:sz="6" w:space="0" w:color="000000"/>
            </w:tcBorders>
          </w:tcPr>
          <w:p>
            <w:pPr>
              <w:pStyle w:val="Table"/>
              <w:suppressLineNumbers/>
              <w:spacing w:before="120" w:after="0"/>
              <w:jc w:val="center"/>
              <w:rPr/>
            </w:pPr>
            <w:r>
              <w:rPr/>
              <w:t>3</w:t>
            </w:r>
          </w:p>
        </w:tc>
        <w:tc>
          <w:tcPr>
            <w:tcW w:w="2970" w:type="dxa"/>
            <w:tcBorders/>
          </w:tcPr>
          <w:p>
            <w:pPr>
              <w:pStyle w:val="Table"/>
              <w:suppressLineNumbers/>
              <w:spacing w:before="120" w:after="0"/>
              <w:rPr/>
            </w:pPr>
            <w:r>
              <w:rPr/>
              <w:t>Short-term Debt Balance</w:t>
            </w:r>
          </w:p>
        </w:tc>
        <w:tc>
          <w:tcPr>
            <w:tcW w:w="810" w:type="dxa"/>
            <w:tcBorders/>
          </w:tcPr>
          <w:p>
            <w:pPr>
              <w:pStyle w:val="Table"/>
              <w:suppressLineNumbers/>
              <w:spacing w:before="120" w:after="0"/>
              <w:jc w:val="center"/>
              <w:rPr/>
            </w:pPr>
            <w:r>
              <w:rPr/>
              <w:t>$2.5</w:t>
            </w:r>
          </w:p>
        </w:tc>
        <w:tc>
          <w:tcPr>
            <w:tcW w:w="801" w:type="dxa"/>
            <w:tcBorders/>
          </w:tcPr>
          <w:p>
            <w:pPr>
              <w:pStyle w:val="Table"/>
              <w:suppressLineNumbers/>
              <w:spacing w:before="120" w:after="0"/>
              <w:jc w:val="center"/>
              <w:rPr/>
            </w:pPr>
            <w:r>
              <w:rPr/>
              <w:t>$3.5</w:t>
            </w:r>
          </w:p>
        </w:tc>
        <w:tc>
          <w:tcPr>
            <w:tcW w:w="806" w:type="dxa"/>
            <w:tcBorders/>
          </w:tcPr>
          <w:p>
            <w:pPr>
              <w:pStyle w:val="Table"/>
              <w:suppressLineNumbers/>
              <w:spacing w:before="120" w:after="0"/>
              <w:jc w:val="center"/>
              <w:rPr/>
            </w:pPr>
            <w:r>
              <w:rPr/>
              <w:t>$3.4</w:t>
            </w:r>
          </w:p>
        </w:tc>
        <w:tc>
          <w:tcPr>
            <w:tcW w:w="863" w:type="dxa"/>
            <w:tcBorders>
              <w:end w:val="single" w:sz="6" w:space="0" w:color="000000"/>
            </w:tcBorders>
          </w:tcPr>
          <w:p>
            <w:pPr>
              <w:pStyle w:val="Table"/>
              <w:suppressLineNumbers/>
              <w:spacing w:before="120" w:after="0"/>
              <w:jc w:val="center"/>
              <w:rPr/>
            </w:pPr>
            <w:r>
              <w:rPr/>
              <w:t>$1.9</w:t>
            </w:r>
          </w:p>
        </w:tc>
      </w:tr>
      <w:tr>
        <w:trPr/>
        <w:tc>
          <w:tcPr>
            <w:tcW w:w="811" w:type="dxa"/>
            <w:tcBorders>
              <w:start w:val="single" w:sz="6" w:space="0" w:color="000000"/>
            </w:tcBorders>
          </w:tcPr>
          <w:p>
            <w:pPr>
              <w:pStyle w:val="Table"/>
              <w:suppressLineNumbers/>
              <w:spacing w:before="120" w:after="0"/>
              <w:jc w:val="center"/>
              <w:rPr/>
            </w:pPr>
            <w:r>
              <w:rPr/>
              <w:t>4</w:t>
            </w:r>
          </w:p>
        </w:tc>
        <w:tc>
          <w:tcPr>
            <w:tcW w:w="2970" w:type="dxa"/>
            <w:tcBorders/>
          </w:tcPr>
          <w:p>
            <w:pPr>
              <w:pStyle w:val="Table"/>
              <w:suppressLineNumbers/>
              <w:spacing w:before="120" w:after="0"/>
              <w:rPr/>
            </w:pPr>
            <w:r>
              <w:rPr/>
              <w:t>FFO</w:t>
            </w:r>
            <w:r>
              <w:rPr>
                <w:vertAlign w:val="superscript"/>
              </w:rPr>
              <w:t>(2)</w:t>
            </w:r>
            <w:r>
              <w:rPr/>
              <w:t xml:space="preserve"> interest coverage</w:t>
            </w:r>
          </w:p>
        </w:tc>
        <w:tc>
          <w:tcPr>
            <w:tcW w:w="810" w:type="dxa"/>
            <w:tcBorders/>
          </w:tcPr>
          <w:p>
            <w:pPr>
              <w:pStyle w:val="Table"/>
              <w:suppressLineNumbers/>
              <w:spacing w:before="120" w:after="0"/>
              <w:jc w:val="center"/>
              <w:rPr/>
            </w:pPr>
            <w:r>
              <w:rPr/>
              <w:t>1.4x</w:t>
            </w:r>
          </w:p>
        </w:tc>
        <w:tc>
          <w:tcPr>
            <w:tcW w:w="801" w:type="dxa"/>
            <w:tcBorders/>
          </w:tcPr>
          <w:p>
            <w:pPr>
              <w:pStyle w:val="Table"/>
              <w:suppressLineNumbers/>
              <w:spacing w:before="120" w:after="0"/>
              <w:jc w:val="center"/>
              <w:rPr/>
            </w:pPr>
            <w:r>
              <w:rPr/>
              <w:t>3.3x</w:t>
            </w:r>
          </w:p>
        </w:tc>
        <w:tc>
          <w:tcPr>
            <w:tcW w:w="806" w:type="dxa"/>
            <w:tcBorders/>
          </w:tcPr>
          <w:p>
            <w:pPr>
              <w:pStyle w:val="Table"/>
              <w:suppressLineNumbers/>
              <w:spacing w:before="120" w:after="0"/>
              <w:jc w:val="center"/>
              <w:rPr/>
            </w:pPr>
            <w:r>
              <w:rPr/>
              <w:t>4.2x</w:t>
            </w:r>
          </w:p>
        </w:tc>
        <w:tc>
          <w:tcPr>
            <w:tcW w:w="863" w:type="dxa"/>
            <w:tcBorders>
              <w:end w:val="single" w:sz="6" w:space="0" w:color="000000"/>
            </w:tcBorders>
          </w:tcPr>
          <w:p>
            <w:pPr>
              <w:pStyle w:val="Table"/>
              <w:suppressLineNumbers/>
              <w:spacing w:before="120" w:after="0"/>
              <w:jc w:val="center"/>
              <w:rPr/>
            </w:pPr>
            <w:r>
              <w:rPr/>
              <w:t>7.2x</w:t>
            </w:r>
          </w:p>
        </w:tc>
      </w:tr>
      <w:tr>
        <w:trPr/>
        <w:tc>
          <w:tcPr>
            <w:tcW w:w="811" w:type="dxa"/>
            <w:tcBorders>
              <w:start w:val="single" w:sz="6" w:space="0" w:color="000000"/>
            </w:tcBorders>
          </w:tcPr>
          <w:p>
            <w:pPr>
              <w:pStyle w:val="Table"/>
              <w:suppressLineNumbers/>
              <w:spacing w:before="120" w:after="0"/>
              <w:jc w:val="center"/>
              <w:rPr/>
            </w:pPr>
            <w:r>
              <w:rPr/>
              <w:t>5</w:t>
            </w:r>
          </w:p>
        </w:tc>
        <w:tc>
          <w:tcPr>
            <w:tcW w:w="2970" w:type="dxa"/>
            <w:tcBorders/>
          </w:tcPr>
          <w:p>
            <w:pPr>
              <w:pStyle w:val="Table"/>
              <w:suppressLineNumbers/>
              <w:spacing w:before="120" w:after="0"/>
              <w:rPr/>
            </w:pPr>
            <w:r>
              <w:rPr/>
              <w:t>Total debt to total capitalization</w:t>
            </w:r>
          </w:p>
        </w:tc>
        <w:tc>
          <w:tcPr>
            <w:tcW w:w="810" w:type="dxa"/>
            <w:tcBorders/>
          </w:tcPr>
          <w:p>
            <w:pPr>
              <w:pStyle w:val="Table"/>
              <w:suppressLineNumbers/>
              <w:spacing w:before="120" w:after="0"/>
              <w:jc w:val="center"/>
              <w:rPr/>
            </w:pPr>
            <w:r>
              <w:rPr/>
              <w:t>55.1%</w:t>
            </w:r>
          </w:p>
        </w:tc>
        <w:tc>
          <w:tcPr>
            <w:tcW w:w="801" w:type="dxa"/>
            <w:tcBorders/>
          </w:tcPr>
          <w:p>
            <w:pPr>
              <w:pStyle w:val="Table"/>
              <w:suppressLineNumbers/>
              <w:spacing w:before="120" w:after="0"/>
              <w:jc w:val="center"/>
              <w:rPr/>
            </w:pPr>
            <w:r>
              <w:rPr/>
              <w:t>56.9%</w:t>
            </w:r>
          </w:p>
        </w:tc>
        <w:tc>
          <w:tcPr>
            <w:tcW w:w="806" w:type="dxa"/>
            <w:tcBorders/>
          </w:tcPr>
          <w:p>
            <w:pPr>
              <w:pStyle w:val="Table"/>
              <w:suppressLineNumbers/>
              <w:spacing w:before="120" w:after="0"/>
              <w:jc w:val="center"/>
              <w:rPr/>
            </w:pPr>
            <w:r>
              <w:rPr/>
              <w:t>57.4%</w:t>
            </w:r>
          </w:p>
        </w:tc>
        <w:tc>
          <w:tcPr>
            <w:tcW w:w="863" w:type="dxa"/>
            <w:tcBorders>
              <w:end w:val="single" w:sz="6" w:space="0" w:color="000000"/>
            </w:tcBorders>
          </w:tcPr>
          <w:p>
            <w:pPr>
              <w:pStyle w:val="Table"/>
              <w:suppressLineNumbers/>
              <w:spacing w:before="120" w:after="0"/>
              <w:jc w:val="center"/>
              <w:rPr/>
            </w:pPr>
            <w:r>
              <w:rPr/>
              <w:t>52.8%</w:t>
            </w:r>
          </w:p>
        </w:tc>
      </w:tr>
      <w:tr>
        <w:trPr/>
        <w:tc>
          <w:tcPr>
            <w:tcW w:w="7061" w:type="dxa"/>
            <w:gridSpan w:val="6"/>
            <w:tcBorders>
              <w:start w:val="single" w:sz="6" w:space="0" w:color="000000"/>
              <w:bottom w:val="single" w:sz="6" w:space="0" w:color="000000"/>
              <w:end w:val="single" w:sz="6" w:space="0" w:color="000000"/>
            </w:tcBorders>
          </w:tcPr>
          <w:p>
            <w:pPr>
              <w:pStyle w:val="Table"/>
              <w:suppressLineNumbers/>
              <w:snapToGrid w:val="false"/>
              <w:rPr>
                <w:rFonts w:ascii="Times New Roman" w:hAnsi="Times New Roman" w:cs="Times New Roman"/>
                <w:color w:val="000000"/>
                <w:sz w:val="14"/>
              </w:rPr>
            </w:pPr>
            <w:r>
              <w:rPr>
                <w:rFonts w:cs="Times New Roman" w:ascii="Times New Roman" w:hAnsi="Times New Roman"/>
                <w:color w:val="000000"/>
                <w:sz w:val="14"/>
              </w:rPr>
            </w:r>
          </w:p>
          <w:p>
            <w:pPr>
              <w:pStyle w:val="Table"/>
              <w:suppressLineNumbers/>
              <w:rPr>
                <w:sz w:val="14"/>
              </w:rPr>
            </w:pPr>
            <w:r>
              <w:rPr>
                <w:sz w:val="14"/>
              </w:rPr>
            </w:r>
          </w:p>
          <w:p>
            <w:pPr>
              <w:pStyle w:val="Table"/>
              <w:suppressLineNumbers/>
              <w:rPr>
                <w:sz w:val="14"/>
              </w:rPr>
            </w:pPr>
            <w:r>
              <w:rPr>
                <w:sz w:val="14"/>
              </w:rPr>
              <w:t>Source:  Pacific Gas and Electric Company</w:t>
            </w:r>
          </w:p>
          <w:p>
            <w:pPr>
              <w:pStyle w:val="Table"/>
              <w:suppressLineNumbers/>
              <w:rPr>
                <w:sz w:val="14"/>
              </w:rPr>
            </w:pPr>
            <w:r>
              <w:rPr>
                <w:sz w:val="14"/>
              </w:rPr>
              <w:t>(1) Approximation</w:t>
            </w:r>
          </w:p>
          <w:p>
            <w:pPr>
              <w:pStyle w:val="Table"/>
              <w:suppressLineNumbers/>
              <w:rPr>
                <w:sz w:val="14"/>
              </w:rPr>
            </w:pPr>
            <w:r>
              <w:rPr>
                <w:sz w:val="14"/>
              </w:rPr>
              <w:t>(2) FFO = Funds From Operations</w:t>
            </w:r>
          </w:p>
        </w:tc>
      </w:tr>
    </w:tbl>
    <w:p>
      <w:pPr>
        <w:pStyle w:val="Table"/>
        <w:suppressLineNumbers/>
        <w:rPr/>
      </w:pPr>
      <w:r>
        <w:rPr/>
      </w:r>
    </w:p>
    <w:p>
      <w:pPr>
        <w:pStyle w:val="Body1"/>
        <w:rPr/>
      </w:pPr>
      <w:r>
        <w:rPr/>
        <w:t>However, we believe that the prompt adoption of a credible and responsible plan coupled with appropriate market modifications would enable the Company to retain the confidence of the financial community and assume the capital markets access necessary to fund cash shortfalls.</w:t>
      </w:r>
    </w:p>
    <w:p>
      <w:pPr>
        <w:pStyle w:val="Body1"/>
        <w:rPr/>
      </w:pPr>
      <w:r>
        <w:rPr/>
        <w:t xml:space="preserve">Stabilizing the generation component of retail rates at a higher level may seem like an attractive solution due to its simplicity, but it is merely a continuation of the rate freeze at a different level.  When first conceived, 5.4 cents per kWh was a level that was designed to provide for the cost of energy procurement and provide excess revenues to accelerate the collection of transition costs.  It proved to be insufficient in the face of higher than anticipated costs to procure energy from the PX.  Raising the rate to 6.5 cents per kWh, or to some other static level, does not provide lenders and bondholders the necessary comfort that the Company will not be caught in this bind again.  Although it is unlikely, wholesale prices could remain at high levels or continue to increase.  Rating agencies and creditors alike would like to have a mechanism that is dynamic and automatically responds to undercollections of power procurement costs and changes in wholesale power prices.  The form of such a mechanism will be dependent upon the ultimate actions taken by the Federal Energy Regulatory Commission (“FERC”) to stabilize the generation markets.  </w:t>
      </w:r>
    </w:p>
    <w:p>
      <w:pPr>
        <w:pStyle w:val="Heading1"/>
        <w:ind w:firstLine="432" w:start="0"/>
        <w:rPr/>
      </w:pPr>
      <w:bookmarkStart w:id="4" w:name="__RefHeading___Toc499524264"/>
      <w:bookmarkEnd w:id="4"/>
      <w:r>
        <w:rPr/>
        <w:t>Conclusion</w:t>
      </w:r>
    </w:p>
    <w:p>
      <w:pPr>
        <w:pStyle w:val="Body1"/>
        <w:rPr/>
      </w:pPr>
      <w:r>
        <w:rPr/>
        <w:t>PG&amp;E does have some ability, although limited, to continue to act as a “bank” to its customers by financing higher than anticipated generation costs.  However, it cannot continue to provide this function without an appropriate regulatory environment that provides for certain recovery in a reasonable period of time and that maintains a sufficient cushion of equity to draw upon to meet other financial contingencies.  Absent these conditions precedent, creditors are not likely to provide the requisite financing to PG&amp;E to fund its “bank” function, or, if so, the terms would be expected to be increasingly unattractive.</w:t>
      </w:r>
    </w:p>
    <w:p>
      <w:pPr>
        <w:pStyle w:val="Body1"/>
        <w:rPr/>
      </w:pPr>
      <w:r>
        <w:rPr/>
        <w:t>The ultimate satisfactory solution to the current crisis needs to be adopted well in advance of the summer of 2001.  Without a resolution, PG&amp;E will likely face another round of severe undercollections, and will likely not have the borrowing capacity and financing support to meet these obligations.</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6</w:t>
    </w:r>
    <w:r>
      <w:rPr/>
      <w:fldChar w:fldCharType="end"/>
    </w:r>
    <w:r>
      <w:rPr/>
      <w:t>-</w:t>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4-</w:t>
    </w:r>
    <w:r>
      <w:rPr/>
      <w:fldChar w:fldCharType="begin"/>
    </w:r>
    <w:r>
      <w:rPr/>
      <w:instrText xml:space="preserve"> PAGE </w:instrText>
    </w:r>
    <w:r>
      <w:rPr/>
      <w:fldChar w:fldCharType="separate"/>
    </w:r>
    <w:r>
      <w:rPr/>
      <w:t>8</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rStyle w:val="FootnoteCharacters"/>
        </w:rPr>
        <w:t>[?]</w:t>
      </w:r>
      <w:r>
        <w:rPr/>
        <w:tab/>
        <w:t>See also the testimony of John Bilardello of Standard and Poor’s, Chapter 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864"/>
        </w:tabs>
        <w:ind w:start="864" w:hanging="432"/>
      </w:pPr>
    </w:lvl>
    <w:lvl w:ilvl="2">
      <w:start w:val="1"/>
      <w:pStyle w:val="Heading3"/>
      <w:numFmt w:val="lowerLetter"/>
      <w:lvlText w:val="%3."/>
      <w:lvlJc w:val="start"/>
      <w:pPr>
        <w:tabs>
          <w:tab w:val="num" w:pos="1296"/>
        </w:tabs>
        <w:ind w:start="1296" w:hanging="432"/>
      </w:pPr>
    </w:lvl>
    <w:lvl w:ilvl="3">
      <w:start w:val="1"/>
      <w:pStyle w:val="Heading4"/>
      <w:numFmt w:val="decimal"/>
      <w:lvlText w:val="(%4)"/>
      <w:lvlJc w:val="start"/>
      <w:pPr>
        <w:tabs>
          <w:tab w:val="num" w:pos="1728"/>
        </w:tabs>
        <w:ind w:start="1728" w:hanging="432"/>
      </w:pPr>
    </w:lvl>
    <w:lvl w:ilvl="4">
      <w:start w:val="1"/>
      <w:pStyle w:val="Heading5"/>
      <w:numFmt w:val="lowerLetter"/>
      <w:lvlText w:val="(%5)"/>
      <w:lvlJc w:val="start"/>
      <w:pPr>
        <w:tabs>
          <w:tab w:val="num" w:pos="2160"/>
        </w:tabs>
        <w:ind w:start="2160" w:hanging="432"/>
      </w:pPr>
    </w:lvl>
    <w:lvl w:ilvl="5">
      <w:start w:val="1"/>
      <w:pStyle w:val="Heading6"/>
      <w:numFmt w:val="upperRoman"/>
      <w:lvlText w:val="(%6)"/>
      <w:lvlJc w:val="start"/>
      <w:pPr>
        <w:tabs>
          <w:tab w:val="num" w:pos="2880"/>
        </w:tabs>
        <w:ind w:start="2880" w:hanging="720"/>
      </w:pPr>
    </w:lvl>
    <w:lvl w:ilvl="6">
      <w:start w:val="1"/>
      <w:pStyle w:val="Heading7"/>
      <w:numFmt w:val="upperLetter"/>
      <w:lvlText w:val="(%7)"/>
      <w:lvlJc w:val="start"/>
      <w:pPr>
        <w:tabs>
          <w:tab w:val="num" w:pos="3600"/>
        </w:tabs>
        <w:ind w:start="3600" w:hanging="720"/>
      </w:pPr>
    </w:lvl>
    <w:lvl w:ilvl="7">
      <w:start w:val="1"/>
      <w:pStyle w:val="Heading8"/>
      <w:numFmt w:val="lowerRoman"/>
      <w:lvlText w:val="(%8)"/>
      <w:lvlJc w:val="start"/>
      <w:pPr>
        <w:tabs>
          <w:tab w:val="num" w:pos="4320"/>
        </w:tabs>
        <w:ind w:start="4320" w:hanging="720"/>
      </w:pPr>
    </w:lvl>
    <w:lvl w:ilvl="8">
      <w:start w:val="1"/>
      <w:pStyle w:val="Heading9"/>
      <w:numFmt w:val="lowerLetter"/>
      <w:lvlText w:val="(%9)"/>
      <w:lvlJc w:val="start"/>
      <w:pPr>
        <w:tabs>
          <w:tab w:val="num" w:pos="5040"/>
        </w:tabs>
        <w:ind w:start="5040" w:hanging="720"/>
      </w:pPr>
    </w:lvl>
  </w:abstractNum>
  <w:abstractNum w:abstractNumId="2">
    <w:lvl w:ilvl="0">
      <w:start w:val="1"/>
      <w:numFmt w:val="none"/>
      <w:suff w:val="nothing"/>
      <w:lvlText w:val=""/>
      <w:lvlJc w:val="start"/>
      <w:pPr>
        <w:tabs>
          <w:tab w:val="num" w:pos="432"/>
        </w:tabs>
        <w:ind w:start="2160" w:hanging="432"/>
      </w:pPr>
      <w:rPr>
        <w:sz w:val="20"/>
        <w:rFonts w:ascii="Symbol" w:hAnsi="Symbol" w:cs="Symbol"/>
        <w:color w:val="000000"/>
      </w:rPr>
    </w:lvl>
  </w:abstractNum>
  <w:abstractNum w:abstractNumId="3">
    <w:lvl w:ilvl="0">
      <w:start w:val="1"/>
      <w:numFmt w:val="none"/>
      <w:suff w:val="nothing"/>
      <w:lvlText w:val=""/>
      <w:lvlJc w:val="start"/>
      <w:pPr>
        <w:tabs>
          <w:tab w:val="num" w:pos="432"/>
        </w:tabs>
        <w:ind w:start="864" w:hanging="432"/>
      </w:pPr>
      <w:rPr>
        <w:sz w:val="20"/>
        <w:rFonts w:ascii="Symbol" w:hAnsi="Symbol" w:cs="Symbol"/>
        <w:color w:val="000000"/>
      </w:rPr>
    </w:lvl>
  </w:abstractNum>
  <w:abstractNum w:abstractNumId="4">
    <w:lvl w:ilvl="0">
      <w:start w:val="1"/>
      <w:numFmt w:val="none"/>
      <w:suff w:val="nothing"/>
      <w:lvlText w:val=""/>
      <w:lvlJc w:val="start"/>
      <w:pPr>
        <w:tabs>
          <w:tab w:val="num" w:pos="432"/>
        </w:tabs>
        <w:ind w:start="1728" w:hanging="432"/>
      </w:pPr>
      <w:rPr>
        <w:sz w:val="20"/>
        <w:rFonts w:ascii="Symbol" w:hAnsi="Symbol" w:cs="Symbol"/>
        <w:color w:val="000000"/>
      </w:rPr>
    </w:lvl>
  </w:abstractNum>
  <w:abstractNum w:abstractNumId="5">
    <w:lvl w:ilvl="0">
      <w:start w:val="1"/>
      <w:numFmt w:val="none"/>
      <w:suff w:val="nothing"/>
      <w:lvlText w:val=""/>
      <w:lvlJc w:val="start"/>
      <w:pPr>
        <w:tabs>
          <w:tab w:val="num" w:pos="432"/>
        </w:tabs>
        <w:ind w:start="1296" w:hanging="432"/>
      </w:pPr>
      <w:rPr>
        <w:sz w:val="20"/>
        <w:rFonts w:ascii="Symbol" w:hAnsi="Symbol"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Times New Roman" w:cs="Arial"/>
      <w:color w:val="000000"/>
      <w:sz w:val="24"/>
      <w:szCs w:val="20"/>
      <w:lang w:val="en-US" w:bidi="ar-SA" w:eastAsia="zh-CN"/>
    </w:rPr>
  </w:style>
  <w:style w:type="paragraph" w:styleId="Heading1">
    <w:name w:val="heading 1"/>
    <w:basedOn w:val="Normal"/>
    <w:next w:val="Body1"/>
    <w:qFormat/>
    <w:pPr>
      <w:keepNext w:val="true"/>
      <w:numPr>
        <w:ilvl w:val="0"/>
        <w:numId w:val="1"/>
      </w:numPr>
      <w:spacing w:before="120" w:after="0"/>
      <w:outlineLvl w:val="0"/>
    </w:pPr>
    <w:rPr>
      <w:b/>
      <w:sz w:val="28"/>
    </w:rPr>
  </w:style>
  <w:style w:type="paragraph" w:styleId="Heading2">
    <w:name w:val="heading 2"/>
    <w:basedOn w:val="Normal"/>
    <w:next w:val="Body2"/>
    <w:qFormat/>
    <w:pPr>
      <w:keepNext w:val="true"/>
      <w:numPr>
        <w:ilvl w:val="1"/>
        <w:numId w:val="1"/>
      </w:numPr>
      <w:spacing w:before="120" w:after="0"/>
      <w:outlineLvl w:val="1"/>
    </w:pPr>
    <w:rPr>
      <w:b/>
      <w:sz w:val="26"/>
    </w:rPr>
  </w:style>
  <w:style w:type="paragraph" w:styleId="Heading3">
    <w:name w:val="heading 3"/>
    <w:basedOn w:val="Heading2"/>
    <w:next w:val="Body3"/>
    <w:qFormat/>
    <w:pPr>
      <w:numPr>
        <w:ilvl w:val="2"/>
        <w:numId w:val="1"/>
      </w:numPr>
      <w:spacing w:before="60" w:after="0"/>
      <w:outlineLvl w:val="2"/>
    </w:pPr>
    <w:rPr>
      <w:sz w:val="23"/>
    </w:rPr>
  </w:style>
  <w:style w:type="paragraph" w:styleId="Heading4">
    <w:name w:val="heading 4"/>
    <w:basedOn w:val="Heading3"/>
    <w:next w:val="Body4"/>
    <w:qFormat/>
    <w:pPr>
      <w:numPr>
        <w:ilvl w:val="3"/>
        <w:numId w:val="1"/>
      </w:numPr>
      <w:outlineLvl w:val="3"/>
    </w:pPr>
    <w:rPr/>
  </w:style>
  <w:style w:type="paragraph" w:styleId="Heading5">
    <w:name w:val="heading 5"/>
    <w:basedOn w:val="Heading4"/>
    <w:next w:val="Body5"/>
    <w:qFormat/>
    <w:pPr>
      <w:numPr>
        <w:ilvl w:val="4"/>
        <w:numId w:val="1"/>
      </w:numPr>
      <w:outlineLvl w:val="4"/>
    </w:pPr>
    <w:rPr/>
  </w:style>
  <w:style w:type="paragraph" w:styleId="Heading6">
    <w:name w:val="heading 6"/>
    <w:basedOn w:val="Heading5"/>
    <w:next w:val="Body6"/>
    <w:qFormat/>
    <w:pPr>
      <w:numPr>
        <w:ilvl w:val="5"/>
        <w:numId w:val="1"/>
      </w:numPr>
      <w:tabs>
        <w:tab w:val="clear" w:pos="720"/>
      </w:tabs>
      <w:ind w:hanging="432" w:start="2592" w:end="0"/>
      <w:outlineLvl w:val="5"/>
    </w:pPr>
    <w:rPr/>
  </w:style>
  <w:style w:type="paragraph" w:styleId="Heading7">
    <w:name w:val="heading 7"/>
    <w:basedOn w:val="Heading6"/>
    <w:next w:val="Body7"/>
    <w:qFormat/>
    <w:pPr>
      <w:numPr>
        <w:ilvl w:val="6"/>
        <w:numId w:val="1"/>
      </w:numPr>
      <w:tabs>
        <w:tab w:val="left" w:pos="3060" w:leader="none"/>
      </w:tabs>
      <w:ind w:hanging="432" w:start="3024" w:end="0"/>
      <w:outlineLvl w:val="6"/>
    </w:pPr>
    <w:rPr/>
  </w:style>
  <w:style w:type="paragraph" w:styleId="Heading8">
    <w:name w:val="heading 8"/>
    <w:basedOn w:val="Heading7"/>
    <w:next w:val="Body8"/>
    <w:qFormat/>
    <w:pPr>
      <w:numPr>
        <w:ilvl w:val="7"/>
        <w:numId w:val="1"/>
      </w:numPr>
      <w:tabs>
        <w:tab w:val="left" w:pos="3060" w:leader="none"/>
        <w:tab w:val="left" w:pos="3510" w:leader="none"/>
      </w:tabs>
      <w:ind w:hanging="432" w:start="3456" w:end="0"/>
      <w:outlineLvl w:val="7"/>
    </w:pPr>
    <w:rPr>
      <w:i/>
    </w:rPr>
  </w:style>
  <w:style w:type="paragraph" w:styleId="Heading9">
    <w:name w:val="heading 9"/>
    <w:basedOn w:val="Heading8"/>
    <w:next w:val="Body9"/>
    <w:qFormat/>
    <w:pPr>
      <w:numPr>
        <w:ilvl w:val="8"/>
        <w:numId w:val="1"/>
      </w:numPr>
      <w:tabs>
        <w:tab w:val="left" w:pos="3060" w:leader="none"/>
        <w:tab w:val="left" w:pos="3510" w:leader="none"/>
        <w:tab w:val="left" w:pos="3960" w:leader="none"/>
      </w:tabs>
      <w:ind w:hanging="432" w:start="3888"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20"/>
    </w:rPr>
  </w:style>
  <w:style w:type="character" w:styleId="WW8Num15z0">
    <w:name w:val="WW8Num15z0"/>
    <w:qFormat/>
    <w:rPr>
      <w:rFonts w:ascii="Symbol" w:hAnsi="Symbol" w:cs="Symbol"/>
      <w:color w:val="000000"/>
      <w:sz w:val="20"/>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sz w:val="20"/>
    </w:rPr>
  </w:style>
  <w:style w:type="character" w:styleId="WW8Num18z0">
    <w:name w:val="WW8Num18z0"/>
    <w:qFormat/>
    <w:rPr>
      <w:rFonts w:ascii="Symbol" w:hAnsi="Symbol" w:cs="Symbol"/>
      <w:color w:val="000000"/>
      <w:sz w:val="20"/>
    </w:rPr>
  </w:style>
  <w:style w:type="character" w:styleId="WW8Num19z0">
    <w:name w:val="WW8Num19z0"/>
    <w:qFormat/>
    <w:rPr>
      <w:rFonts w:ascii="Symbol" w:hAnsi="Symbol" w:cs="Symbol"/>
      <w:color w:val="000000"/>
      <w:sz w:val="20"/>
    </w:rPr>
  </w:style>
  <w:style w:type="character" w:styleId="WW8Num20z0">
    <w:name w:val="WW8Num20z0"/>
    <w:qFormat/>
    <w:rPr>
      <w:rFonts w:ascii="Symbol" w:hAnsi="Symbol" w:cs="Symbol"/>
      <w:color w:val="000000"/>
      <w:sz w:val="20"/>
    </w:rPr>
  </w:style>
  <w:style w:type="character" w:styleId="WW8Num21z0">
    <w:name w:val="WW8Num21z0"/>
    <w:qFormat/>
    <w:rPr>
      <w:rFonts w:ascii="Symbol" w:hAnsi="Symbol" w:cs="Symbol"/>
      <w:color w:val="000000"/>
      <w:sz w:val="20"/>
    </w:rPr>
  </w:style>
  <w:style w:type="character" w:styleId="WW8Num22z0">
    <w:name w:val="WW8Num22z0"/>
    <w:qFormat/>
    <w:rPr>
      <w:rFonts w:ascii="Symbol" w:hAnsi="Symbol" w:cs="Symbol"/>
      <w:color w:val="000000"/>
      <w:sz w:val="20"/>
    </w:rPr>
  </w:style>
  <w:style w:type="character" w:styleId="WW8Num23z0">
    <w:name w:val="WW8Num23z0"/>
    <w:qFormat/>
    <w:rPr>
      <w:rFonts w:ascii="Symbol" w:hAnsi="Symbol" w:cs="Symbol"/>
      <w:color w:val="000000"/>
      <w:sz w:val="20"/>
    </w:rPr>
  </w:style>
  <w:style w:type="character" w:styleId="WW8Num24z0">
    <w:name w:val="WW8Num24z0"/>
    <w:qFormat/>
    <w:rPr>
      <w:rFonts w:ascii="Symbol" w:hAnsi="Symbol" w:cs="Symbol"/>
      <w:color w:val="000000"/>
      <w:sz w:val="20"/>
    </w:rPr>
  </w:style>
  <w:style w:type="character" w:styleId="WW8Num25z0">
    <w:name w:val="WW8Num25z0"/>
    <w:qFormat/>
    <w:rPr>
      <w:rFonts w:ascii="Symbol" w:hAnsi="Symbol" w:cs="Symbol"/>
      <w:color w:val="000000"/>
      <w:sz w:val="20"/>
    </w:rPr>
  </w:style>
  <w:style w:type="character" w:styleId="WW8Num27z0">
    <w:name w:val="WW8Num27z0"/>
    <w:qFormat/>
    <w:rPr>
      <w:rFonts w:ascii="Symbol" w:hAnsi="Symbol" w:cs="Symbol"/>
      <w:color w:val="000000"/>
      <w:sz w:val="20"/>
    </w:rPr>
  </w:style>
  <w:style w:type="character" w:styleId="WW8Num28z0">
    <w:name w:val="WW8Num28z0"/>
    <w:qFormat/>
    <w:rPr>
      <w:rFonts w:ascii="Symbol" w:hAnsi="Symbol" w:cs="Symbol"/>
      <w:color w:val="000000"/>
      <w:sz w:val="20"/>
    </w:rPr>
  </w:style>
  <w:style w:type="character" w:styleId="WW8Num29z0">
    <w:name w:val="WW8Num29z0"/>
    <w:qFormat/>
    <w:rPr>
      <w:rFonts w:ascii="Symbol" w:hAnsi="Symbol" w:cs="Symbol"/>
      <w:color w:val="000000"/>
      <w:sz w:val="20"/>
    </w:rPr>
  </w:style>
  <w:style w:type="character" w:styleId="WW8Num30z0">
    <w:name w:val="WW8Num30z0"/>
    <w:qFormat/>
    <w:rPr>
      <w:rFonts w:ascii="Symbol" w:hAnsi="Symbol" w:cs="Symbol"/>
      <w:color w:val="000000"/>
      <w:sz w:val="20"/>
    </w:rPr>
  </w:style>
  <w:style w:type="character" w:styleId="WW8Num31z0">
    <w:name w:val="WW8Num31z0"/>
    <w:qFormat/>
    <w:rPr>
      <w:rFonts w:ascii="Symbol" w:hAnsi="Symbol" w:cs="Symbol"/>
      <w:color w:val="000000"/>
      <w:sz w:val="20"/>
    </w:rPr>
  </w:style>
  <w:style w:type="character" w:styleId="WW8Num32z0">
    <w:name w:val="WW8Num32z0"/>
    <w:qFormat/>
    <w:rPr>
      <w:rFonts w:ascii="Symbol" w:hAnsi="Symbol" w:cs="Symbol"/>
      <w:color w:val="000000"/>
      <w:sz w:val="20"/>
    </w:rPr>
  </w:style>
  <w:style w:type="character" w:styleId="WW8Num33z0">
    <w:name w:val="WW8Num33z0"/>
    <w:qFormat/>
    <w:rPr>
      <w:rFonts w:ascii="Symbol" w:hAnsi="Symbol" w:cs="Symbol"/>
      <w:color w:val="000000"/>
      <w:sz w:val="20"/>
    </w:rPr>
  </w:style>
  <w:style w:type="character" w:styleId="WW8Num34z0">
    <w:name w:val="WW8Num34z0"/>
    <w:qFormat/>
    <w:rPr>
      <w:rFonts w:ascii="Symbol" w:hAnsi="Symbol" w:cs="Symbol"/>
      <w:color w:val="000000"/>
      <w:sz w:val="20"/>
    </w:rPr>
  </w:style>
  <w:style w:type="character" w:styleId="WW8Num35z0">
    <w:name w:val="WW8Num35z0"/>
    <w:qFormat/>
    <w:rPr>
      <w:rFonts w:ascii="Symbol" w:hAnsi="Symbol" w:cs="Symbol"/>
      <w:color w:val="000000"/>
      <w:sz w:val="20"/>
    </w:rPr>
  </w:style>
  <w:style w:type="character" w:styleId="WW8Num36z0">
    <w:name w:val="WW8Num36z0"/>
    <w:qFormat/>
    <w:rPr>
      <w:rFonts w:ascii="Courier New" w:hAnsi="Courier New" w:cs="Courier New"/>
      <w:sz w:val="20"/>
    </w:rPr>
  </w:style>
  <w:style w:type="character" w:styleId="WW8Num37z0">
    <w:name w:val="WW8Num37z0"/>
    <w:qFormat/>
    <w:rPr>
      <w:rFonts w:ascii="Symbol" w:hAnsi="Symbol" w:cs="Symbol"/>
      <w:color w:val="000000"/>
      <w:sz w:val="20"/>
    </w:rPr>
  </w:style>
  <w:style w:type="character" w:styleId="WW8Num38z0">
    <w:name w:val="WW8Num38z0"/>
    <w:qFormat/>
    <w:rPr>
      <w:rFonts w:ascii="Symbol" w:hAnsi="Symbol" w:cs="Symbol"/>
      <w:color w:val="000000"/>
      <w:sz w:val="20"/>
    </w:rPr>
  </w:style>
  <w:style w:type="character" w:styleId="WW8Num39z0">
    <w:name w:val="WW8Num39z0"/>
    <w:qFormat/>
    <w:rPr>
      <w:rFonts w:ascii="Symbol" w:hAnsi="Symbol" w:cs="Symbol"/>
      <w:color w:val="000000"/>
      <w:sz w:val="20"/>
    </w:rPr>
  </w:style>
  <w:style w:type="character" w:styleId="WW8Num40z0">
    <w:name w:val="WW8Num40z0"/>
    <w:qFormat/>
    <w:rPr/>
  </w:style>
  <w:style w:type="character" w:styleId="WW8Num41z0">
    <w:name w:val="WW8Num41z0"/>
    <w:qFormat/>
    <w:rPr>
      <w:rFonts w:ascii="Symbol" w:hAnsi="Symbol" w:cs="Symbol"/>
      <w:color w:val="000000"/>
      <w:sz w:val="20"/>
    </w:rPr>
  </w:style>
  <w:style w:type="character" w:styleId="WW8NumSt2z0">
    <w:name w:val="WW8NumSt2z0"/>
    <w:qFormat/>
    <w:rPr>
      <w:rFonts w:ascii="Symbol" w:hAnsi="Symbol" w:cs="Symbol"/>
      <w:color w:val="000000"/>
      <w:sz w:val="20"/>
    </w:rPr>
  </w:style>
  <w:style w:type="character" w:styleId="WW8NumSt3z0">
    <w:name w:val="WW8NumSt3z0"/>
    <w:qFormat/>
    <w:rPr>
      <w:rFonts w:ascii="Symbol" w:hAnsi="Symbol" w:cs="Symbol"/>
      <w:color w:val="000000"/>
      <w:sz w:val="16"/>
    </w:rPr>
  </w:style>
  <w:style w:type="character" w:styleId="WW8NumSt4z0">
    <w:name w:val="WW8NumSt4z0"/>
    <w:qFormat/>
    <w:rPr>
      <w:rFonts w:ascii="Symbol" w:hAnsi="Symbol" w:cs="Symbol"/>
      <w:sz w:val="16"/>
    </w:rPr>
  </w:style>
  <w:style w:type="character" w:styleId="WW8NumSt5z0">
    <w:name w:val="WW8NumSt5z0"/>
    <w:qFormat/>
    <w:rPr>
      <w:rFonts w:ascii="Symbol" w:hAnsi="Symbol" w:cs="Symbol"/>
    </w:rPr>
  </w:style>
  <w:style w:type="character" w:styleId="WW8NumSt35z0">
    <w:name w:val="WW8NumSt35z0"/>
    <w:qFormat/>
    <w:rPr>
      <w:rFonts w:ascii="Symbol" w:hAnsi="Symbol" w:cs="Symbol"/>
      <w:color w:val="000000"/>
      <w:sz w:val="20"/>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b/>
      <w:strike w:val="false"/>
      <w:dstrike w:val="false"/>
      <w:color w:val="auto"/>
      <w:spacing w:val="0"/>
      <w:w w:val="100"/>
      <w:kern w:val="0"/>
      <w:position w:val="0"/>
      <w:sz w:val="24"/>
      <w:sz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cs="Arial"/>
      <w:strike w:val="false"/>
      <w:dstrike w:val="false"/>
      <w:color w:val="auto"/>
      <w:position w:val="0"/>
      <w:sz w:val="20"/>
      <w:sz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000000"/>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Bullet0">
    <w:name w:val="Bullet 0"/>
    <w:basedOn w:val="Normal"/>
    <w:qFormat/>
    <w:pPr>
      <w:numPr>
        <w:ilvl w:val="0"/>
        <w:numId w:val="3"/>
      </w:numPr>
      <w:spacing w:before="0" w:after="120"/>
      <w:ind w:firstLine="432" w:start="432" w:end="0"/>
    </w:pPr>
    <w:rPr/>
  </w:style>
  <w:style w:type="paragraph" w:styleId="Bullet1">
    <w:name w:val="Bullet 1"/>
    <w:basedOn w:val="Bullet0"/>
    <w:qFormat/>
    <w:pPr>
      <w:ind w:firstLine="432" w:start="864" w:end="0"/>
    </w:pPr>
    <w:rPr/>
  </w:style>
  <w:style w:type="paragraph" w:styleId="Bullet2">
    <w:name w:val="Bullet 2"/>
    <w:basedOn w:val="Bullet1"/>
    <w:qFormat/>
    <w:pPr>
      <w:ind w:firstLine="432" w:start="1296" w:end="0"/>
    </w:pPr>
    <w:rPr/>
  </w:style>
  <w:style w:type="paragraph" w:styleId="Bullet3">
    <w:name w:val="Bullet 3"/>
    <w:basedOn w:val="Bullet2"/>
    <w:qFormat/>
    <w:pPr>
      <w:numPr>
        <w:ilvl w:val="0"/>
        <w:numId w:val="5"/>
      </w:numPr>
      <w:ind w:firstLine="432" w:start="1728" w:end="0"/>
    </w:pPr>
    <w:rPr/>
  </w:style>
  <w:style w:type="paragraph" w:styleId="Bullet4">
    <w:name w:val="Bullet 4"/>
    <w:basedOn w:val="Bullet3"/>
    <w:qFormat/>
    <w:pPr>
      <w:numPr>
        <w:ilvl w:val="0"/>
        <w:numId w:val="4"/>
      </w:numPr>
      <w:ind w:firstLine="432" w:start="2160" w:end="0"/>
    </w:pPr>
    <w:rPr/>
  </w:style>
  <w:style w:type="paragraph" w:styleId="Bullet5">
    <w:name w:val="Bullet 5"/>
    <w:basedOn w:val="Bullet4"/>
    <w:qFormat/>
    <w:pPr>
      <w:numPr>
        <w:ilvl w:val="0"/>
        <w:numId w:val="2"/>
      </w:numPr>
      <w:ind w:firstLine="432" w:start="2592" w:end="0"/>
    </w:pPr>
    <w:rPr/>
  </w:style>
  <w:style w:type="paragraph" w:styleId="BodyTextIndent">
    <w:name w:val="Body Text Indent"/>
    <w:basedOn w:val="Normal"/>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000000"/>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000000"/>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caps/>
      <w:sz w:val="20"/>
    </w:rPr>
  </w:style>
  <w:style w:type="paragraph" w:styleId="Table">
    <w:name w:val="Table"/>
    <w:basedOn w:val="Body2"/>
    <w:qFormat/>
    <w:pPr>
      <w:keepNext w:val="true"/>
      <w:keepLines/>
      <w:spacing w:lineRule="auto" w:line="240"/>
      <w:ind w:hanging="0" w:start="0" w:end="0"/>
    </w:pPr>
    <w:rPr>
      <w:sz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Times New Roman" w:cs="Arial"/>
      <w:color w:val="auto"/>
      <w:sz w:val="20"/>
      <w:szCs w:val="20"/>
      <w:lang w:val="en-US" w:bidi="ar-SA" w:eastAsia="zh-C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firstLine="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firstLine="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firstLine="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firstLine="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Times New Roman" w:cs="Arial"/>
      <w:b/>
      <w:color w:val="000000"/>
      <w:spacing w:val="10"/>
      <w:sz w:val="28"/>
      <w:szCs w:val="20"/>
      <w:lang w:val="en-US" w:bidi="ar-SA" w:eastAsia="zh-CN"/>
    </w:rPr>
  </w:style>
  <w:style w:type="paragraph" w:styleId="TITLE1">
    <w:name w:val="TITLE 1"/>
    <w:basedOn w:val="Normal"/>
    <w:qFormat/>
    <w:pPr>
      <w:ind w:hanging="0" w:start="0" w:end="0"/>
      <w:jc w:val="center"/>
    </w:pPr>
    <w:rPr>
      <w:b/>
      <w:sz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sz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000000"/>
    </w:rPr>
  </w:style>
  <w:style w:type="paragraph" w:styleId="Body0-list">
    <w:name w:val="Body 0 - list"/>
    <w:basedOn w:val="BodyTextIndent"/>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2000-11-22T18:49:00Z</dcterms:created>
  <dc:creator>Carolyn Lim</dc:creator>
  <dc:description/>
  <dc:language>en-CA</dc:language>
  <cp:lastModifiedBy>Janice Frazier-Hampton</cp:lastModifiedBy>
  <cp:lastPrinted>2000-11-22T10:47:00Z</cp:lastPrinted>
  <dcterms:modified xsi:type="dcterms:W3CDTF">2000-11-22T18:49:00Z</dcterms:modified>
  <cp:revision>2</cp:revision>
  <dc:subject/>
  <dc:title> TITLE </dc:title>
</cp:coreProperties>
</file>