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widowControl/>
        <w:bidi w:val="0"/>
        <w:spacing w:lineRule="exact" w:line="560" w:before="3000" w:after="0"/>
        <w:jc w:val="center"/>
        <w:rPr/>
      </w:pPr>
      <w:r>
        <w:rPr/>
      </w: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UTILITY FINANCIAL CONDITION</w:t>
      </w:r>
    </w:p>
    <w:p>
      <w:pPr>
        <w:sectPr>
          <w:headerReference w:type="default" r:id="rId2"/>
          <w:type w:val="nextPage"/>
          <w:pgSz w:w="12240" w:h="15840"/>
          <w:pgMar w:left="1440" w:right="1440" w:gutter="360" w:header="720" w:top="1008" w:footer="0" w:bottom="720"/>
          <w:lnNumType w:countBy="1" w:restart="newPage" w:distance="283"/>
          <w:pgNumType w:fmt="decimal"/>
          <w:formProt w:val="false"/>
          <w:textDirection w:val="lrTb"/>
          <w:docGrid w:type="default" w:linePitch="360" w:charSpace="0"/>
        </w:sectPr>
        <w:pStyle w:val="CoverTitle"/>
        <w:rPr/>
      </w:pPr>
      <w:r>
        <w:rPr/>
      </w:r>
    </w:p>
    <w:p>
      <w:pPr>
        <w:pStyle w:val="TOCTitle"/>
        <w:rPr/>
      </w:pPr>
      <w:r>
        <w:rPr/>
        <w:t>PACIFIC GAS AND ELECTRIC COMPANY</w:t>
        <w:br/>
        <w:t xml:space="preserve">CHAPTER </w:t>
      </w:r>
      <w:r>
        <w:rPr/>
        <w:fldChar w:fldCharType="begin"/>
      </w:r>
      <w:r>
        <w:rPr/>
        <w:instrText xml:space="preserve"> SEQ chap \* ARABIC </w:instrText>
      </w:r>
      <w:r>
        <w:rPr/>
        <w:fldChar w:fldCharType="separate"/>
      </w:r>
      <w:r>
        <w:rPr/>
        <w:t>1</w:t>
      </w:r>
      <w:r>
        <w:rPr/>
        <w:fldChar w:fldCharType="end"/>
      </w:r>
      <w:r>
        <w:rPr/>
        <w:br/>
        <w:t>UTILITY FINANCIAL CONDITION</w:t>
        <w:br/>
        <w:br/>
        <w:t>TABLE OF CONTENTS</w:t>
      </w:r>
    </w:p>
    <w:sdt>
      <w:sdtPr>
        <w:docPartObj>
          <w:docPartGallery w:val="Table of Contents"/>
          <w:docPartUnique w:val="true"/>
        </w:docPartObj>
      </w:sdtPr>
      <w:sdtContent>
        <w:p>
          <w:pPr>
            <w:pStyle w:val="TOC1"/>
            <w:tabs>
              <w:tab w:val="left" w:pos="720" w:leader="none"/>
              <w:tab w:val="right" w:pos="9000" w:leader="dot"/>
            </w:tabs>
            <w:rPr>
              <w:rFonts w:ascii="Times New Roman" w:hAnsi="Times New Roman" w:cs="Times New Roman"/>
              <w:szCs w:val="24"/>
              <w:lang w:val="en-CA" w:eastAsia="en-CA"/>
            </w:rPr>
          </w:pPr>
          <w:r>
            <w:fldChar w:fldCharType="begin"/>
          </w:r>
          <w:r>
            <w:rPr>
              <w:szCs w:val="28"/>
              <w:lang w:val="en-CA" w:eastAsia="en-CA"/>
            </w:rPr>
            <w:instrText xml:space="preserve"> TOC \o "1-4" \s chap </w:instrText>
          </w:r>
          <w:r>
            <w:rPr>
              <w:szCs w:val="28"/>
              <w:lang w:val="en-CA" w:eastAsia="en-CA"/>
            </w:rPr>
            <w:fldChar w:fldCharType="separate"/>
          </w:r>
          <w:r>
            <w:rPr>
              <w:szCs w:val="28"/>
              <w:lang w:val="en-CA" w:eastAsia="en-CA"/>
            </w:rPr>
            <w:t>A.</w:t>
          </w:r>
          <w:r>
            <w:rPr>
              <w:rFonts w:cs="Times New Roman" w:ascii="Times New Roman" w:hAnsi="Times New Roman"/>
              <w:szCs w:val="24"/>
              <w:lang w:val="en-CA" w:eastAsia="en-CA"/>
            </w:rPr>
            <w:tab/>
          </w:r>
          <w:r>
            <w:rPr>
              <w:szCs w:val="28"/>
              <w:lang w:val="en-CA" w:eastAsia="en-CA"/>
            </w:rPr>
            <w:t>Introduction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2</w:t>
          </w:r>
          <w:r>
            <w:rPr>
              <w:lang w:val="en-CA" w:eastAsia="en-CA"/>
            </w:rPr>
            <w:fldChar w:fldCharType="end"/>
          </w:r>
          <w:r>
            <w:rPr>
              <w:lang w:val="en-CA" w:eastAsia="en-CA"/>
            </w:rPr>
            <w:t>-</w:t>
          </w:r>
          <w:hyperlink w:anchor="__RefHeading___Toc499524196">
            <w:r>
              <w:rPr>
                <w:rStyle w:val="IndexLink"/>
                <w:lang w:val="en-CA" w:eastAsia="en-CA"/>
              </w:rPr>
              <w:t>1</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B.</w:t>
          </w:r>
          <w:r>
            <w:rPr>
              <w:rFonts w:cs="Times New Roman" w:ascii="Times New Roman" w:hAnsi="Times New Roman"/>
              <w:szCs w:val="24"/>
              <w:lang w:val="en-CA" w:eastAsia="en-CA"/>
            </w:rPr>
            <w:tab/>
          </w:r>
          <w:r>
            <w:rPr>
              <w:szCs w:val="28"/>
              <w:lang w:val="en-CA" w:eastAsia="en-CA"/>
            </w:rPr>
            <w:t>PG&amp;E Faces a Real Financial Crisis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3</w:t>
          </w:r>
          <w:r>
            <w:rPr>
              <w:lang w:val="en-CA" w:eastAsia="en-CA"/>
            </w:rPr>
            <w:fldChar w:fldCharType="end"/>
          </w:r>
          <w:r>
            <w:rPr>
              <w:lang w:val="en-CA" w:eastAsia="en-CA"/>
            </w:rPr>
            <w:t>-</w:t>
          </w:r>
          <w:hyperlink w:anchor="__RefHeading___Toc499524197">
            <w:r>
              <w:rPr>
                <w:rStyle w:val="IndexLink"/>
                <w:lang w:val="en-CA" w:eastAsia="en-CA"/>
              </w:rPr>
              <w:t>3</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1.</w:t>
          </w:r>
          <w:r>
            <w:rPr>
              <w:rFonts w:cs="Times New Roman" w:ascii="Times New Roman" w:hAnsi="Times New Roman"/>
              <w:szCs w:val="24"/>
              <w:lang w:val="en-CA" w:eastAsia="en-CA"/>
            </w:rPr>
            <w:tab/>
          </w:r>
          <w:r>
            <w:rPr>
              <w:szCs w:val="26"/>
              <w:lang w:val="en-CA" w:eastAsia="en-CA"/>
            </w:rPr>
            <w:t>PG&amp;E Has Highly Uncertain but Very Large Financing Requirements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4</w:t>
          </w:r>
          <w:r>
            <w:rPr>
              <w:lang w:val="en-CA" w:eastAsia="en-CA"/>
            </w:rPr>
            <w:fldChar w:fldCharType="end"/>
          </w:r>
          <w:r>
            <w:rPr>
              <w:lang w:val="en-CA" w:eastAsia="en-CA"/>
            </w:rPr>
            <w:t>-</w:t>
          </w:r>
          <w:hyperlink w:anchor="__RefHeading___Toc499524198">
            <w:r>
              <w:rPr>
                <w:rStyle w:val="IndexLink"/>
                <w:lang w:val="en-CA" w:eastAsia="en-CA"/>
              </w:rPr>
              <w:t>3</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2.</w:t>
          </w:r>
          <w:r>
            <w:rPr>
              <w:rFonts w:cs="Times New Roman" w:ascii="Times New Roman" w:hAnsi="Times New Roman"/>
              <w:szCs w:val="24"/>
              <w:lang w:val="en-CA" w:eastAsia="en-CA"/>
            </w:rPr>
            <w:tab/>
          </w:r>
          <w:r>
            <w:rPr>
              <w:szCs w:val="26"/>
              <w:lang w:val="en-CA" w:eastAsia="en-CA"/>
            </w:rPr>
            <w:t>Key Credit Ratios for PG&amp;E Demonstrate a Severely Weakened Credit Profile</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5</w:t>
          </w:r>
          <w:r>
            <w:rPr>
              <w:lang w:val="en-CA" w:eastAsia="en-CA"/>
            </w:rPr>
            <w:fldChar w:fldCharType="end"/>
          </w:r>
          <w:r>
            <w:rPr>
              <w:lang w:val="en-CA" w:eastAsia="en-CA"/>
            </w:rPr>
            <w:t>-</w:t>
          </w:r>
          <w:hyperlink w:anchor="__RefHeading___Toc499524199">
            <w:r>
              <w:rPr>
                <w:rStyle w:val="IndexLink"/>
                <w:lang w:val="en-CA" w:eastAsia="en-CA"/>
              </w:rPr>
              <w:t>7</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3.</w:t>
          </w:r>
          <w:r>
            <w:rPr>
              <w:rFonts w:cs="Times New Roman" w:ascii="Times New Roman" w:hAnsi="Times New Roman"/>
              <w:szCs w:val="24"/>
              <w:lang w:val="en-CA" w:eastAsia="en-CA"/>
            </w:rPr>
            <w:tab/>
          </w:r>
          <w:r>
            <w:rPr>
              <w:szCs w:val="26"/>
              <w:lang w:val="en-CA" w:eastAsia="en-CA"/>
            </w:rPr>
            <w:t>Rearranging Balancing Accounts Constitutes Doing Nothing</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6</w:t>
          </w:r>
          <w:r>
            <w:rPr>
              <w:lang w:val="en-CA" w:eastAsia="en-CA"/>
            </w:rPr>
            <w:fldChar w:fldCharType="end"/>
          </w:r>
          <w:r>
            <w:rPr>
              <w:lang w:val="en-CA" w:eastAsia="en-CA"/>
            </w:rPr>
            <w:t>-</w:t>
          </w:r>
          <w:hyperlink w:anchor="__RefHeading___Toc499524200">
            <w:r>
              <w:rPr>
                <w:rStyle w:val="IndexLink"/>
                <w:lang w:val="en-CA" w:eastAsia="en-CA"/>
              </w:rPr>
              <w:t>9</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C.</w:t>
          </w:r>
          <w:r>
            <w:rPr>
              <w:rFonts w:cs="Times New Roman" w:ascii="Times New Roman" w:hAnsi="Times New Roman"/>
              <w:szCs w:val="24"/>
              <w:lang w:val="en-CA" w:eastAsia="en-CA"/>
            </w:rPr>
            <w:tab/>
          </w:r>
          <w:r>
            <w:rPr>
              <w:szCs w:val="28"/>
              <w:lang w:val="en-CA" w:eastAsia="en-CA"/>
            </w:rPr>
            <w:t>Maintaining Creditor Confidence Is Critical</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7</w:t>
          </w:r>
          <w:r>
            <w:rPr>
              <w:lang w:val="en-CA" w:eastAsia="en-CA"/>
            </w:rPr>
            <w:fldChar w:fldCharType="end"/>
          </w:r>
          <w:r>
            <w:rPr>
              <w:lang w:val="en-CA" w:eastAsia="en-CA"/>
            </w:rPr>
            <w:t>-</w:t>
          </w:r>
          <w:hyperlink w:anchor="__RefHeading___Toc499524201">
            <w:r>
              <w:rPr>
                <w:rStyle w:val="IndexLink"/>
                <w:lang w:val="en-CA" w:eastAsia="en-CA"/>
              </w:rPr>
              <w:t>10</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1.</w:t>
          </w:r>
          <w:r>
            <w:rPr>
              <w:rFonts w:cs="Times New Roman" w:ascii="Times New Roman" w:hAnsi="Times New Roman"/>
              <w:szCs w:val="24"/>
              <w:lang w:val="en-CA" w:eastAsia="en-CA"/>
            </w:rPr>
            <w:tab/>
          </w:r>
          <w:r>
            <w:rPr>
              <w:szCs w:val="26"/>
              <w:lang w:val="en-CA" w:eastAsia="en-CA"/>
            </w:rPr>
            <w:t>Creditor Constituencies and Interactions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8</w:t>
          </w:r>
          <w:r>
            <w:rPr>
              <w:lang w:val="en-CA" w:eastAsia="en-CA"/>
            </w:rPr>
            <w:fldChar w:fldCharType="end"/>
          </w:r>
          <w:r>
            <w:rPr>
              <w:lang w:val="en-CA" w:eastAsia="en-CA"/>
            </w:rPr>
            <w:t>-</w:t>
          </w:r>
          <w:hyperlink w:anchor="__RefHeading___Toc499524202">
            <w:r>
              <w:rPr>
                <w:rStyle w:val="IndexLink"/>
                <w:lang w:val="en-CA" w:eastAsia="en-CA"/>
              </w:rPr>
              <w:t>11</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2.</w:t>
          </w:r>
          <w:r>
            <w:rPr>
              <w:rFonts w:cs="Times New Roman" w:ascii="Times New Roman" w:hAnsi="Times New Roman"/>
              <w:szCs w:val="24"/>
              <w:lang w:val="en-CA" w:eastAsia="en-CA"/>
            </w:rPr>
            <w:tab/>
          </w:r>
          <w:r>
            <w:rPr>
              <w:szCs w:val="26"/>
              <w:lang w:val="en-CA" w:eastAsia="en-CA"/>
            </w:rPr>
            <w:t>Credit Rating Agency and Creditor Views of the Current Crisis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9</w:t>
          </w:r>
          <w:r>
            <w:rPr>
              <w:lang w:val="en-CA" w:eastAsia="en-CA"/>
            </w:rPr>
            <w:fldChar w:fldCharType="end"/>
          </w:r>
          <w:r>
            <w:rPr>
              <w:lang w:val="en-CA" w:eastAsia="en-CA"/>
            </w:rPr>
            <w:t>-</w:t>
          </w:r>
          <w:hyperlink w:anchor="__RefHeading___Toc499524203">
            <w:r>
              <w:rPr>
                <w:rStyle w:val="IndexLink"/>
                <w:lang w:val="en-CA" w:eastAsia="en-CA"/>
              </w:rPr>
              <w:t>14</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D.</w:t>
          </w:r>
          <w:r>
            <w:rPr>
              <w:rFonts w:cs="Times New Roman" w:ascii="Times New Roman" w:hAnsi="Times New Roman"/>
              <w:szCs w:val="24"/>
              <w:lang w:val="en-CA" w:eastAsia="en-CA"/>
            </w:rPr>
            <w:tab/>
          </w:r>
          <w:r>
            <w:rPr>
              <w:szCs w:val="28"/>
              <w:lang w:val="en-CA" w:eastAsia="en-CA"/>
            </w:rPr>
            <w:t>The RSP Strengthens PG&amp;E’s Financial Profile</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10</w:t>
          </w:r>
          <w:r>
            <w:rPr>
              <w:lang w:val="en-CA" w:eastAsia="en-CA"/>
            </w:rPr>
            <w:fldChar w:fldCharType="end"/>
          </w:r>
          <w:r>
            <w:rPr>
              <w:lang w:val="en-CA" w:eastAsia="en-CA"/>
            </w:rPr>
            <w:t>-</w:t>
          </w:r>
          <w:hyperlink w:anchor="__RefHeading___Toc499524204">
            <w:r>
              <w:rPr>
                <w:rStyle w:val="IndexLink"/>
                <w:lang w:val="en-CA" w:eastAsia="en-CA"/>
              </w:rPr>
              <w:t>16</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1.</w:t>
          </w:r>
          <w:r>
            <w:rPr>
              <w:rFonts w:cs="Times New Roman" w:ascii="Times New Roman" w:hAnsi="Times New Roman"/>
              <w:szCs w:val="24"/>
              <w:lang w:val="en-CA" w:eastAsia="en-CA"/>
            </w:rPr>
            <w:tab/>
          </w:r>
          <w:r>
            <w:rPr>
              <w:szCs w:val="26"/>
              <w:lang w:val="en-CA" w:eastAsia="en-CA"/>
            </w:rPr>
            <w:t>The RSP Reduces External Financing Requirements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11</w:t>
          </w:r>
          <w:r>
            <w:rPr>
              <w:lang w:val="en-CA" w:eastAsia="en-CA"/>
            </w:rPr>
            <w:fldChar w:fldCharType="end"/>
          </w:r>
          <w:r>
            <w:rPr>
              <w:lang w:val="en-CA" w:eastAsia="en-CA"/>
            </w:rPr>
            <w:t>-</w:t>
          </w:r>
          <w:hyperlink w:anchor="__RefHeading___Toc499524205">
            <w:r>
              <w:rPr>
                <w:rStyle w:val="IndexLink"/>
                <w:lang w:val="en-CA" w:eastAsia="en-CA"/>
              </w:rPr>
              <w:t>16</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2.</w:t>
          </w:r>
          <w:r>
            <w:rPr>
              <w:rFonts w:cs="Times New Roman" w:ascii="Times New Roman" w:hAnsi="Times New Roman"/>
              <w:szCs w:val="24"/>
              <w:lang w:val="en-CA" w:eastAsia="en-CA"/>
            </w:rPr>
            <w:tab/>
          </w:r>
          <w:r>
            <w:rPr>
              <w:szCs w:val="26"/>
              <w:lang w:val="en-CA" w:eastAsia="en-CA"/>
            </w:rPr>
            <w:t>The RSP Enhances Benchmark Credit Ratios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12</w:t>
          </w:r>
          <w:r>
            <w:rPr>
              <w:lang w:val="en-CA" w:eastAsia="en-CA"/>
            </w:rPr>
            <w:fldChar w:fldCharType="end"/>
          </w:r>
          <w:r>
            <w:rPr>
              <w:lang w:val="en-CA" w:eastAsia="en-CA"/>
            </w:rPr>
            <w:t>-</w:t>
          </w:r>
          <w:hyperlink w:anchor="__RefHeading___Toc499524206">
            <w:r>
              <w:rPr>
                <w:rStyle w:val="IndexLink"/>
                <w:lang w:val="en-CA" w:eastAsia="en-CA"/>
              </w:rPr>
              <w:t>17</w:t>
            </w:r>
          </w:hyperlink>
        </w:p>
        <w:p>
          <w:pPr>
            <w:pStyle w:val="TOC2"/>
            <w:tabs>
              <w:tab w:val="left" w:pos="1080" w:leader="none"/>
              <w:tab w:val="right" w:pos="9000" w:leader="dot"/>
            </w:tabs>
            <w:rPr>
              <w:rFonts w:ascii="Times New Roman" w:hAnsi="Times New Roman" w:cs="Times New Roman"/>
              <w:szCs w:val="24"/>
              <w:lang w:val="en-CA" w:eastAsia="en-CA"/>
            </w:rPr>
          </w:pPr>
          <w:r>
            <w:rPr>
              <w:szCs w:val="26"/>
              <w:lang w:val="en-CA" w:eastAsia="en-CA"/>
            </w:rPr>
            <w:t>3.</w:t>
          </w:r>
          <w:r>
            <w:rPr>
              <w:rFonts w:cs="Times New Roman" w:ascii="Times New Roman" w:hAnsi="Times New Roman"/>
              <w:szCs w:val="24"/>
              <w:lang w:val="en-CA" w:eastAsia="en-CA"/>
            </w:rPr>
            <w:tab/>
          </w:r>
          <w:r>
            <w:rPr>
              <w:szCs w:val="26"/>
              <w:lang w:val="en-CA" w:eastAsia="en-CA"/>
            </w:rPr>
            <w:t>The RSP Incorporates Financial “Safety Valves”</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13</w:t>
          </w:r>
          <w:r>
            <w:rPr>
              <w:lang w:val="en-CA" w:eastAsia="en-CA"/>
            </w:rPr>
            <w:fldChar w:fldCharType="end"/>
          </w:r>
          <w:r>
            <w:rPr>
              <w:lang w:val="en-CA" w:eastAsia="en-CA"/>
            </w:rPr>
            <w:t>-</w:t>
          </w:r>
          <w:hyperlink w:anchor="__RefHeading___Toc499524207">
            <w:r>
              <w:rPr>
                <w:rStyle w:val="IndexLink"/>
                <w:lang w:val="en-CA" w:eastAsia="en-CA"/>
              </w:rPr>
              <w:t>19</w:t>
            </w:r>
          </w:hyperlink>
        </w:p>
        <w:p>
          <w:pPr>
            <w:pStyle w:val="TOC1"/>
            <w:tabs>
              <w:tab w:val="left" w:pos="720" w:leader="none"/>
              <w:tab w:val="right" w:pos="9000" w:leader="dot"/>
            </w:tabs>
            <w:rPr>
              <w:rFonts w:ascii="Times New Roman" w:hAnsi="Times New Roman" w:cs="Times New Roman"/>
              <w:szCs w:val="24"/>
              <w:lang w:val="en-CA" w:eastAsia="en-CA"/>
            </w:rPr>
          </w:pPr>
          <w:r>
            <w:rPr>
              <w:szCs w:val="28"/>
              <w:lang w:val="en-CA" w:eastAsia="en-CA"/>
            </w:rPr>
            <w:t>E.</w:t>
          </w:r>
          <w:r>
            <w:rPr>
              <w:rFonts w:cs="Times New Roman" w:ascii="Times New Roman" w:hAnsi="Times New Roman"/>
              <w:szCs w:val="24"/>
              <w:lang w:val="en-CA" w:eastAsia="en-CA"/>
            </w:rPr>
            <w:tab/>
          </w:r>
          <w:r>
            <w:rPr>
              <w:szCs w:val="28"/>
              <w:lang w:val="en-CA" w:eastAsia="en-CA"/>
            </w:rPr>
            <w:t>Conclusion</w:t>
          </w:r>
          <w:r>
            <w:rPr>
              <w:lang w:val="en-CA" w:eastAsia="en-CA"/>
            </w:rPr>
            <w:tab/>
          </w:r>
          <w:r>
            <w:rPr>
              <w:lang w:val="en-CA" w:eastAsia="en-CA"/>
            </w:rPr>
            <w:fldChar w:fldCharType="begin"/>
          </w:r>
          <w:r>
            <w:rPr>
              <w:lang w:val="en-CA" w:eastAsia="en-CA"/>
            </w:rPr>
            <w:instrText xml:space="preserve"> SEQ chap \* ARABIC </w:instrText>
          </w:r>
          <w:r>
            <w:rPr>
              <w:lang w:val="en-CA" w:eastAsia="en-CA"/>
            </w:rPr>
            <w:fldChar w:fldCharType="separate"/>
          </w:r>
          <w:r>
            <w:rPr>
              <w:lang w:val="en-CA" w:eastAsia="en-CA"/>
            </w:rPr>
            <w:t>14</w:t>
          </w:r>
          <w:r>
            <w:rPr>
              <w:lang w:val="en-CA" w:eastAsia="en-CA"/>
            </w:rPr>
            <w:fldChar w:fldCharType="end"/>
          </w:r>
          <w:r>
            <w:rPr>
              <w:lang w:val="en-CA" w:eastAsia="en-CA"/>
            </w:rPr>
            <w:t>-</w:t>
          </w:r>
          <w:hyperlink w:anchor="__RefHeading___Toc499524208">
            <w:r>
              <w:rPr>
                <w:rStyle w:val="IndexLink"/>
                <w:lang w:val="en-CA" w:eastAsia="en-CA"/>
              </w:rPr>
              <w:t>21</w:t>
            </w:r>
          </w:hyperlink>
          <w:r>
            <w:rPr>
              <w:rStyle w:val="IndexLink"/>
              <w:lang w:val="en-CA" w:eastAsia="en-CA"/>
            </w:rPr>
            <w:fldChar w:fldCharType="end"/>
          </w:r>
        </w:p>
      </w:sdtContent>
    </w:sdt>
    <w:p>
      <w:pPr>
        <w:sectPr>
          <w:headerReference w:type="default" r:id="rId3"/>
          <w:headerReference w:type="first" r:id="rId4"/>
          <w:footerReference w:type="default" r:id="rId5"/>
          <w:footerReference w:type="first" r:id="rId6"/>
          <w:type w:val="nextPage"/>
          <w:pgSz w:w="12240" w:h="15840"/>
          <w:pgMar w:left="1440" w:right="1440" w:gutter="360" w:header="720" w:top="1008" w:footer="432" w:bottom="1656"/>
          <w:lnNumType w:countBy="1" w:restart="newPage" w:distance="283"/>
          <w:pgNumType w:start="1" w:fmt="lowerRoman"/>
          <w:formProt w:val="false"/>
          <w:titlePg/>
          <w:textDirection w:val="lrTb"/>
          <w:docGrid w:type="default" w:linePitch="360" w:charSpace="0"/>
        </w:sectPr>
        <w:pStyle w:val="Normal"/>
        <w:rPr>
          <w:rFonts w:ascii="Times New Roman" w:hAnsi="Times New Roman" w:cs="Times New Roman"/>
          <w:szCs w:val="24"/>
          <w:lang w:val="en-CA" w:eastAsia="en-CA"/>
        </w:rPr>
      </w:pPr>
      <w:r>
        <w:rPr>
          <w:rFonts w:cs="Times New Roman" w:ascii="Times New Roman" w:hAnsi="Times New Roman"/>
          <w:szCs w:val="24"/>
          <w:lang w:val="en-CA" w:eastAsia="en-CA"/>
        </w:rPr>
      </w:r>
    </w:p>
    <w:p>
      <w:pPr>
        <w:pStyle w:val="TITLE1"/>
        <w:rPr/>
      </w:pPr>
      <w:r>
        <w:rPr/>
        <w:t>PACIFIC GAS AND ELECTRIC COMPANY</w:t>
      </w:r>
    </w:p>
    <w:p>
      <w:pPr>
        <w:pStyle w:val="TITLE2"/>
        <w:rPr/>
      </w:pPr>
      <w:r>
        <w:rPr/>
        <w:t>CHAPTER 3</w:t>
      </w:r>
    </w:p>
    <w:p>
      <w:pPr>
        <w:pStyle w:val="TITLE3"/>
        <w:rPr/>
      </w:pPr>
      <w:r>
        <w:rPr/>
        <w:t>UTILITY FINANCIAL CONDITION</w:t>
      </w:r>
    </w:p>
    <w:p>
      <w:pPr>
        <w:pStyle w:val="Heading1"/>
        <w:ind w:firstLine="432" w:start="0"/>
        <w:rPr/>
      </w:pPr>
      <w:bookmarkStart w:id="0" w:name="__RefHeading___Toc499524196"/>
      <w:bookmarkEnd w:id="0"/>
      <w:r>
        <w:rPr/>
        <w:t>Introduction</w:t>
      </w:r>
    </w:p>
    <w:p>
      <w:pPr>
        <w:pStyle w:val="Body1"/>
        <w:rPr/>
      </w:pPr>
      <w:r>
        <w:rPr/>
        <w:t>The purpose of this testimony is to describe the serious financial crisis PG&amp;E faces, the necessity for the Commission to take meaningful steps to provide recovery of high purchased power costs as soon as possible, and the elements of PG&amp;E’s Rate Stabilization Plan which will restore the Company’s financial condition.</w:t>
      </w:r>
    </w:p>
    <w:p>
      <w:pPr>
        <w:pStyle w:val="Body1"/>
        <w:rPr/>
      </w:pPr>
      <w:r>
        <w:rPr/>
        <w:t xml:space="preserve">The simple fact is that very high costs of purchasing electricity and ancillary services from the Power Exchange (PX) and the Independent System Operator (ISO) since June 2000 have created very large operating cost deficits.  These operating cost deficits are enormous, regardless of how they are accounted for under methods adopted by this Commission for tracking utility procurement and transition costs.  PG&amp;E is paying out much more cash to fulfill its obligations to procure power for retail customers than it is recovering in retail rates.  The result is an enormous requirement to raise capital in the financial markets.  </w:t>
      </w:r>
    </w:p>
    <w:p>
      <w:pPr>
        <w:pStyle w:val="Body1"/>
        <w:rPr/>
      </w:pPr>
      <w:r>
        <w:rPr/>
        <w:t xml:space="preserve">The Company estimates that its total external financing requirements for the eighteen month period beginning July 1, 2000, and ending December 31, 2001, will total between $3.2 and $4.0 billion, </w:t>
      </w:r>
      <w:r>
        <w:rPr>
          <w:u w:val="single"/>
        </w:rPr>
        <w:t>excluding</w:t>
      </w:r>
      <w:r>
        <w:rPr/>
        <w:t xml:space="preserve"> $2.0 billion of short</w:t>
        <w:noBreakHyphen/>
        <w:t>term debt that must be refinanced during that period, for a total financing requirement of $5.2 to $6.0 billion.  These estimates of financing requirements fully incorporate the cash flow benefits of electric energy and ancillary services that PG&amp;E’s retained and controlled generation resources sell to the PX and the ISO.  These levels of financing are unprecedented for the Company.  Moreover, these financing requirements are very unpredictable given the volatility of energy prices.</w:t>
      </w:r>
    </w:p>
    <w:p>
      <w:pPr>
        <w:pStyle w:val="Body1"/>
        <w:rPr/>
      </w:pPr>
      <w:r>
        <w:rPr/>
        <w:t xml:space="preserve">Retaining creditors’ confidence is absolutely essential if the Company is to raise capital to meet obligations to customers, suppliers, and investors.  Expeditious action by the Commission is necessary if the Company is to maintain creditor confidence.  This does not mean that the Commission must rush to final judgment of every issue.  It does require Commission approval of a substantive plan for cost recovery and resulting retail rate increases during the first quarter of 2001.  As described below and in Chapters 4 and 5, failure of the Commission to come to grips with this financial emergency in a timely manner  will likely result in credit rating downgrades, and a resulting loss in creditor confidence.  </w:t>
      </w:r>
    </w:p>
    <w:p>
      <w:pPr>
        <w:pStyle w:val="Body1"/>
        <w:rPr/>
      </w:pPr>
      <w:r>
        <w:rPr/>
        <w:t>Creditors want timely payment of interest and principal on their loans, and are also concerned about the possible decline in market value of their loans due to increasing credit risk.  Creditors do not want to spend time in litigation to secure payments.  Furthermore, creditors take cues from each other: rating agencies, bond investors, commercial paper investors, commercial banks, and even trade creditors look at each others’ actions as they make lending decisions.  The result is likely to be collective support for or a collective flight from the Company.</w:t>
      </w:r>
    </w:p>
    <w:p>
      <w:pPr>
        <w:pStyle w:val="Body1"/>
        <w:rPr/>
      </w:pPr>
      <w:r>
        <w:rPr/>
        <w:t>Creditors will not rely upon wishful thinking.  Creditors do not expect that the Federal Energy Regulatory Commission (FERC) will place all market participants on cost of service regulation.  Creditors do not care that PG&amp;E recovered substantial amounts of transition costs from 1998 through mid</w:t>
        <w:noBreakHyphen/>
        <w:t>2000.  Creditors will not be reassured by a rearrangement of regulatory balancing accounts, absent resolution of underlying cost recovery issues.  Creditors will view continuing, extended delays in resolving cost recovery issues and raising retail rates as a sign that the Commission will not address these issues in a timely manner.</w:t>
      </w:r>
    </w:p>
    <w:p>
      <w:pPr>
        <w:pStyle w:val="Body1"/>
        <w:rPr/>
      </w:pPr>
      <w:r>
        <w:rPr/>
        <w:t xml:space="preserve">The Company raised approximately $2.7 billion of debt in the months of October and November, partly to pay an $800 million PX bill due at the end of October, but also to provide a liquidity cushion.  This extraordinary and unprecedented level of financing buys some time for the Company and the Commission to address cost recovery and retail rate issues.  Nevertheless, absent clear regulatory decisions during the first quarter of 2001, the Company will face declining credit ratings and significant difficulty in raising capital to refinance existing debt, pay purchased power costs, and meet other obligations.  </w:t>
      </w:r>
    </w:p>
    <w:p>
      <w:pPr>
        <w:pStyle w:val="Body1"/>
        <w:rPr/>
      </w:pPr>
      <w:r>
        <w:rPr/>
        <w:t>Severely damaging PG&amp;E’s financial condition by avoiding retail rate increases will simply eviscerate the Company’s ability to contribute to long</w:t>
        <w:noBreakHyphen/>
        <w:t>term solutions to the State’s electric energy crisis.  Impairing the Company’s financial condition will make it difficult, if not impossible to raise capital to upgrade transmission facilities, provide seasonal rate stability for retail customers by funding temporary balancing account undercollections, or enter into long</w:t>
        <w:noBreakHyphen/>
        <w:t>term procurement contracts with non</w:t>
        <w:noBreakHyphen/>
        <w:t>utility power generators.</w:t>
      </w:r>
    </w:p>
    <w:p>
      <w:pPr>
        <w:pStyle w:val="Body1"/>
        <w:rPr/>
      </w:pPr>
      <w:r>
        <w:rPr/>
        <w:t xml:space="preserve">The following sections detail the scale of the financial crisis facing PG&amp;E, describe the critical element of creditor confidence in continuing access to external sources of capital, and describe the elements of the Rate Stabilization Plan (RSP) proposed in this application, which will help restore PG&amp;E’s financial condition.  </w:t>
      </w:r>
    </w:p>
    <w:p>
      <w:pPr>
        <w:pStyle w:val="Heading1"/>
        <w:ind w:firstLine="432" w:start="0"/>
        <w:rPr/>
      </w:pPr>
      <w:bookmarkStart w:id="1" w:name="__RefHeading___Toc499524197"/>
      <w:bookmarkEnd w:id="1"/>
      <w:r>
        <w:rPr/>
        <w:t>PG&amp;E Faces a Real Financial Crisis</w:t>
      </w:r>
    </w:p>
    <w:p>
      <w:pPr>
        <w:pStyle w:val="Body1"/>
        <w:rPr/>
      </w:pPr>
      <w:r>
        <w:rPr/>
        <w:t>This section provides an assessment of the scale and nature of the financial crisis that PG&amp;E faces.  The section begins with a summary of two financial scenarios.  It then describes the key differences between cash financing requirements and the undercollections recorded in the TRA.  It provides an assessment of the Company’s credit risk profile, as evidenced by quantitative financial measures used by credit rating analysts.  Finally, it assesses the financial and financial accounting impacts of proposals to rearrange regulatory balancing accounts.  The following key conclusions emerge from these analyses:</w:t>
      </w:r>
    </w:p>
    <w:p>
      <w:pPr>
        <w:pStyle w:val="Bullet1"/>
        <w:numPr>
          <w:ilvl w:val="0"/>
          <w:numId w:val="3"/>
        </w:numPr>
        <w:rPr/>
      </w:pPr>
      <w:r>
        <w:rPr/>
        <w:t>The Company has very large financing requirements, even in the event that power prices are lower in 2001 than during the summer of 2000;</w:t>
      </w:r>
    </w:p>
    <w:p>
      <w:pPr>
        <w:pStyle w:val="Bullet1"/>
        <w:numPr>
          <w:ilvl w:val="0"/>
          <w:numId w:val="3"/>
        </w:numPr>
        <w:rPr/>
      </w:pPr>
      <w:r>
        <w:rPr/>
        <w:t>Financing requirements are driven by cash flow, which is totally unaffected by any arrangement of regulatory balancing accounts used to track transition and purchased power cost recovery;</w:t>
      </w:r>
    </w:p>
    <w:p>
      <w:pPr>
        <w:pStyle w:val="Bullet1"/>
        <w:numPr>
          <w:ilvl w:val="0"/>
          <w:numId w:val="3"/>
        </w:numPr>
        <w:rPr/>
      </w:pPr>
      <w:r>
        <w:rPr/>
        <w:t>Key credit ratios for the period 2000</w:t>
        <w:noBreakHyphen/>
        <w:t>2003 indicate that the Company will have great difficulty maintaining investment grade credit ratings absent significant retail rate increases and a constructive cost recovery plan;</w:t>
      </w:r>
    </w:p>
    <w:p>
      <w:pPr>
        <w:pStyle w:val="Bullet1"/>
        <w:numPr>
          <w:ilvl w:val="0"/>
          <w:numId w:val="3"/>
        </w:numPr>
        <w:rPr/>
      </w:pPr>
      <w:r>
        <w:rPr/>
        <w:t>If the Commission does nothing substantive to address the Company’s financial situation, but relies upon vague promises and accounting “fixes,” creditor confidence will continue to deteriorate.</w:t>
      </w:r>
    </w:p>
    <w:p>
      <w:pPr>
        <w:pStyle w:val="Heading2"/>
        <w:ind w:firstLine="432" w:start="0"/>
        <w:rPr/>
      </w:pPr>
      <w:bookmarkStart w:id="2" w:name="__RefHeading___Toc499524198"/>
      <w:bookmarkEnd w:id="2"/>
      <w:r>
        <w:rPr/>
        <w:t>PG&amp;E Has Highly Uncertain but Very Large Financing Requirements</w:t>
      </w:r>
    </w:p>
    <w:p>
      <w:pPr>
        <w:pStyle w:val="Body2"/>
        <w:rPr/>
      </w:pPr>
      <w:r>
        <w:rPr/>
        <w:t xml:space="preserve">PG&amp;E developed two financial scenarios to illustrate its potential financing requirements and to assess the impact of the current energy crisis on its financial condition and ability to raise capital.  To gauge the impact of these PX prices on PG&amp;E’s financial condition, both financial scenarios hold retail rates at current levels.  PG&amp;E is using two scenarios to illustrate a   range of power prices.  Any one-point estimate of future electric commodity prices is subject to very substantial uncertainty, and these scenarios should not be considered an exhaustive range of possible market conditions.  </w:t>
      </w:r>
    </w:p>
    <w:p>
      <w:pPr>
        <w:pStyle w:val="Body2"/>
        <w:rPr/>
      </w:pPr>
      <w:r>
        <w:rPr/>
        <w:t>The first scenario—termed the “moderating” PX price scenario—uses market</w:t>
        <w:noBreakHyphen/>
        <w:t>derived forward price quotes.  In this scenario, PX prices gradually moderate during the winter and spring of 2001, before increasing in July and August 2001.  Although this seasonal pattern continues after 2001, prices gradually decline, probably given expectations of supply additions in the western United States and gradually declining natural gas prices.  In fact, this scenario could well turn out to be wildly optimistic.  For example, both energy price and financial scenarios presented in this testimony incorporated an estimated average (7x24) energy price of $80.02/MWh for the month of November 2000.  As of November 20, day</w:t>
        <w:noBreakHyphen/>
        <w:t>ahead energy prices had actually averaged $142.89/MWh, representing a 79 percent increase over projected levels.</w:t>
      </w:r>
    </w:p>
    <w:p>
      <w:pPr>
        <w:pStyle w:val="Body2"/>
        <w:rPr/>
      </w:pPr>
      <w:r>
        <w:rPr/>
        <w:t>The second scenario—termed the “sustained” PX price scenario—simply substitutes average prices identical to those experienced during June through October 2000 for the corresponding months of 2001 and 2002, but does not adjust fall or winter prices upward to reflect the higher prices experienced in October and November 2000.  In effect, this wholesale price scenario tests the impact of the electricity crisis continuing for three summers before supply and demand conditions are restored to a more competitive balance.  This scenario should not be interpreted as a worst possible case.  These scenarios were prepared before the recent further escalation in natural gas and power prices noted earlier.  Moreover, dry hydroelectric conditions in the Pacific Northwest and cold winters could cause electric market fundamentals to deteriorate even further.</w:t>
      </w:r>
    </w:p>
    <w:p>
      <w:pPr>
        <w:pStyle w:val="Body2"/>
        <w:rPr/>
      </w:pPr>
      <w:r>
        <w:rPr/>
        <w:t>Additionally, this “sustained” scenario does not test the impacts if higher wholesale prices continue even beyond the summer of 2002, a not unreasonable possibility given current gas prices and siting delays.</w:t>
      </w:r>
    </w:p>
    <w:p>
      <w:pPr>
        <w:pStyle w:val="Body2"/>
        <w:rPr/>
      </w:pPr>
      <w:r>
        <w:rPr/>
        <w:t>The PX prices are used in the financial forecast to estimate the cost of energy and ancillary services procured from the PX and ISO, respectively.  These prices are also used to estimate the cost of energy under Standard Offer contracts for Qualifying Facilities which have switched from administratively determined short</w:t>
        <w:noBreakHyphen/>
        <w:t xml:space="preserve">run avoided costs to PX prices for the energy component of their contract payments.  Approximately 40 percent of PG&amp;E’s QF contract energy deliveries have already switched, and the Company believes that most will switch by June 2001.  </w:t>
      </w:r>
    </w:p>
    <w:p>
      <w:pPr>
        <w:pStyle w:val="Body2"/>
        <w:rPr/>
      </w:pPr>
      <w:r>
        <w:rPr/>
        <w:t>On a cash basis, PG&amp;E does not procure all energy and ancillary services requirements from the PX and ISO or at prices set in those markets.  Net purchase obligations from the PX and ISO are reduced by PG&amp;E’s owned generation, including the Diablo Canyon power plant, its hydro</w:t>
        <w:noBreakHyphen/>
        <w:t>electric generation system and two small fossil plants.  These resources total approximately 35 percent of gross procurement requirements.  Also, PG&amp;E has contracts with irrigation districts for generation at very economical prices for approximately 5 percent of its requirements, and is contracting in the block forward and bilateral markets in order to lock in supply to reduce the uncertainty related to power procurement costs.  The cash flow impacts of all retained resources and existing contracts are incorporated in the financial scenarios.  Nevertheless, PG&amp;E and its customers remain significantly at risk for higher than expected power prices.</w:t>
      </w:r>
    </w:p>
    <w:p>
      <w:pPr>
        <w:pStyle w:val="Body2"/>
        <w:rPr/>
      </w:pPr>
      <w:r>
        <w:rPr/>
        <w:t xml:space="preserve">The energy procurement cost undercollections reported in TRA balances do not equal the cash flow impact of high electric energy prices primarily because PG&amp;E retains ownership or control of a significant amount of generation resources.  Thus the TRA undercollection must be netted with the impact of PG&amp;E’s retained generation.  In addition, other factors affect the Company’s financing requirements: </w:t>
      </w:r>
    </w:p>
    <w:p>
      <w:pPr>
        <w:pStyle w:val="Bullet2"/>
        <w:numPr>
          <w:ilvl w:val="0"/>
          <w:numId w:val="3"/>
        </w:numPr>
        <w:rPr/>
      </w:pPr>
      <w:r>
        <w:rPr/>
        <w:t>temporary timing benefits due to reduced tax liabilities and payment lags to the PX and ISO (though tax benefits occur only quarterly and are currently limited by the level of other taxable income);</w:t>
      </w:r>
    </w:p>
    <w:p>
      <w:pPr>
        <w:pStyle w:val="Bullet2"/>
        <w:numPr>
          <w:ilvl w:val="0"/>
          <w:numId w:val="3"/>
        </w:numPr>
        <w:rPr/>
      </w:pPr>
      <w:r>
        <w:rPr/>
        <w:t>capital expenditures ($1.3</w:t>
        <w:noBreakHyphen/>
        <w:t>1.5 billion annually), principally driven by upgrading electric transmission and distribution facilities to serve growing load;</w:t>
      </w:r>
    </w:p>
    <w:p>
      <w:pPr>
        <w:pStyle w:val="Bullet2"/>
        <w:numPr>
          <w:ilvl w:val="0"/>
          <w:numId w:val="3"/>
        </w:numPr>
        <w:rPr/>
      </w:pPr>
      <w:r>
        <w:rPr/>
        <w:t>debt maturities, which, absent sufficient internally</w:t>
        <w:noBreakHyphen/>
        <w:t>generated cash flow, must be refinanced with new borrowings (approximately $2.3 billion of debt or commercial bank facilities matures during 2001, with most concentrated during the fourth quarter).</w:t>
      </w:r>
    </w:p>
    <w:p>
      <w:pPr>
        <w:pStyle w:val="Body2"/>
        <w:rPr/>
      </w:pPr>
      <w:r>
        <w:rPr/>
        <w:t>PG&amp;E’s annual debt financing requirements for the period 2000</w:t>
        <w:noBreakHyphen/>
        <w:t>2003 are shown below in Figure 1.  The table shows debt issuance both including and excluding requirements for maturing debt.  Net issuance is relevant for a financially healthy company with stable or improving credit quality.  Such a company can typically count on refinancing existing obligations.  Gross issuance is relevant for a company such as PG&amp;E, which faces significant uncertainty and whose financial profile has deteriorated markedly.</w:t>
      </w:r>
    </w:p>
    <w:p>
      <w:pPr>
        <w:pStyle w:val="TableCaption"/>
        <w:rPr/>
      </w:pPr>
      <w:r>
        <w:rPr/>
        <w:t>Figure 1</w:t>
        <w:br/>
        <w:t>Annual Debt Financing Requirements</w:t>
      </w:r>
    </w:p>
    <w:tbl>
      <w:tblPr>
        <w:tblW w:w="8228" w:type="dxa"/>
        <w:jc w:val="start"/>
        <w:tblInd w:w="864" w:type="dxa"/>
        <w:tblLayout w:type="fixed"/>
        <w:tblCellMar>
          <w:top w:w="0" w:type="dxa"/>
          <w:start w:w="108" w:type="dxa"/>
          <w:bottom w:w="0" w:type="dxa"/>
          <w:end w:w="108" w:type="dxa"/>
        </w:tblCellMar>
      </w:tblPr>
      <w:tblGrid>
        <w:gridCol w:w="684"/>
        <w:gridCol w:w="4320"/>
        <w:gridCol w:w="806"/>
        <w:gridCol w:w="806"/>
        <w:gridCol w:w="806"/>
        <w:gridCol w:w="806"/>
      </w:tblGrid>
      <w:tr>
        <w:trPr/>
        <w:tc>
          <w:tcPr>
            <w:tcW w:w="684" w:type="dxa"/>
            <w:tcBorders/>
          </w:tcPr>
          <w:p>
            <w:pPr>
              <w:pStyle w:val="Table"/>
              <w:pBdr>
                <w:bottom w:val="single" w:sz="4" w:space="1" w:color="000000"/>
              </w:pBdr>
              <w:spacing w:before="0" w:after="60"/>
              <w:jc w:val="center"/>
              <w:rPr>
                <w:b/>
                <w:bCs/>
              </w:rPr>
            </w:pPr>
            <w:r>
              <w:rPr>
                <w:b/>
                <w:bCs/>
              </w:rPr>
              <w:t>Line</w:t>
              <w:br/>
              <w:t>No.</w:t>
            </w:r>
          </w:p>
        </w:tc>
        <w:tc>
          <w:tcPr>
            <w:tcW w:w="4320" w:type="dxa"/>
            <w:tcBorders/>
          </w:tcPr>
          <w:p>
            <w:pPr>
              <w:pStyle w:val="Table"/>
              <w:snapToGrid w:val="false"/>
              <w:spacing w:before="0" w:after="60"/>
              <w:jc w:val="center"/>
              <w:rPr>
                <w:b/>
                <w:bCs/>
              </w:rPr>
            </w:pPr>
            <w:r>
              <w:rPr>
                <w:b/>
                <w:bCs/>
              </w:rPr>
            </w:r>
          </w:p>
        </w:tc>
        <w:tc>
          <w:tcPr>
            <w:tcW w:w="806" w:type="dxa"/>
            <w:tcBorders/>
          </w:tcPr>
          <w:p>
            <w:pPr>
              <w:pStyle w:val="Table"/>
              <w:pBdr>
                <w:bottom w:val="single" w:sz="4" w:space="1" w:color="000000"/>
              </w:pBdr>
              <w:spacing w:before="0" w:after="60"/>
              <w:jc w:val="center"/>
              <w:rPr>
                <w:b/>
                <w:bCs/>
              </w:rPr>
            </w:pPr>
            <w:r>
              <w:rPr>
                <w:b/>
                <w:bCs/>
              </w:rPr>
              <w:br/>
              <w:t>2000</w:t>
            </w:r>
          </w:p>
        </w:tc>
        <w:tc>
          <w:tcPr>
            <w:tcW w:w="806" w:type="dxa"/>
            <w:tcBorders/>
          </w:tcPr>
          <w:p>
            <w:pPr>
              <w:pStyle w:val="Table"/>
              <w:pBdr>
                <w:bottom w:val="single" w:sz="4" w:space="1" w:color="000000"/>
              </w:pBdr>
              <w:spacing w:before="0" w:after="60"/>
              <w:jc w:val="center"/>
              <w:rPr>
                <w:b/>
                <w:bCs/>
              </w:rPr>
            </w:pPr>
            <w:r>
              <w:rPr>
                <w:b/>
                <w:bCs/>
              </w:rPr>
              <w:br/>
              <w:t>2001</w:t>
            </w:r>
          </w:p>
        </w:tc>
        <w:tc>
          <w:tcPr>
            <w:tcW w:w="806" w:type="dxa"/>
            <w:tcBorders/>
          </w:tcPr>
          <w:p>
            <w:pPr>
              <w:pStyle w:val="Table"/>
              <w:pBdr>
                <w:bottom w:val="single" w:sz="4" w:space="1" w:color="000000"/>
              </w:pBdr>
              <w:spacing w:before="0" w:after="60"/>
              <w:jc w:val="center"/>
              <w:rPr>
                <w:b/>
                <w:bCs/>
              </w:rPr>
            </w:pPr>
            <w:r>
              <w:rPr>
                <w:b/>
                <w:bCs/>
              </w:rPr>
              <w:br/>
              <w:t>2002</w:t>
            </w:r>
          </w:p>
        </w:tc>
        <w:tc>
          <w:tcPr>
            <w:tcW w:w="806" w:type="dxa"/>
            <w:tcBorders/>
          </w:tcPr>
          <w:p>
            <w:pPr>
              <w:pStyle w:val="Table"/>
              <w:pBdr>
                <w:bottom w:val="single" w:sz="4" w:space="1" w:color="000000"/>
              </w:pBdr>
              <w:spacing w:before="0" w:after="60"/>
              <w:jc w:val="center"/>
              <w:rPr>
                <w:b/>
                <w:bCs/>
              </w:rPr>
            </w:pPr>
            <w:r>
              <w:rPr>
                <w:b/>
                <w:bCs/>
              </w:rPr>
              <w:br/>
              <w:t>2003</w:t>
            </w:r>
          </w:p>
        </w:tc>
      </w:tr>
      <w:tr>
        <w:trPr>
          <w:trHeight w:val="368" w:hRule="atLeast"/>
        </w:trPr>
        <w:tc>
          <w:tcPr>
            <w:tcW w:w="684" w:type="dxa"/>
            <w:tcBorders/>
          </w:tcPr>
          <w:p>
            <w:pPr>
              <w:pStyle w:val="Table"/>
              <w:spacing w:before="0" w:after="120"/>
              <w:jc w:val="center"/>
              <w:rPr/>
            </w:pPr>
            <w:r>
              <w:rPr/>
              <w:t>1</w:t>
            </w:r>
          </w:p>
        </w:tc>
        <w:tc>
          <w:tcPr>
            <w:tcW w:w="4320" w:type="dxa"/>
            <w:tcBorders/>
          </w:tcPr>
          <w:p>
            <w:pPr>
              <w:pStyle w:val="Table"/>
              <w:spacing w:before="0" w:after="120"/>
              <w:rPr/>
            </w:pPr>
            <w:r>
              <w:rPr/>
              <w:t>Moderating Price Scenario Net Issuance</w:t>
            </w:r>
          </w:p>
        </w:tc>
        <w:tc>
          <w:tcPr>
            <w:tcW w:w="806" w:type="dxa"/>
            <w:tcBorders/>
          </w:tcPr>
          <w:p>
            <w:pPr>
              <w:pStyle w:val="Table"/>
              <w:tabs>
                <w:tab w:val="clear" w:pos="720"/>
                <w:tab w:val="decimal" w:pos="522" w:leader="none"/>
              </w:tabs>
              <w:spacing w:before="0" w:after="120"/>
              <w:rPr/>
            </w:pPr>
            <w:r>
              <w:rPr/>
              <w:t>1,950</w:t>
            </w:r>
          </w:p>
        </w:tc>
        <w:tc>
          <w:tcPr>
            <w:tcW w:w="806" w:type="dxa"/>
            <w:tcBorders/>
          </w:tcPr>
          <w:p>
            <w:pPr>
              <w:pStyle w:val="Table"/>
              <w:tabs>
                <w:tab w:val="clear" w:pos="720"/>
                <w:tab w:val="decimal" w:pos="526" w:leader="none"/>
              </w:tabs>
              <w:spacing w:before="0" w:after="120"/>
              <w:rPr/>
            </w:pPr>
            <w:r>
              <w:rPr/>
              <w:t>1,015</w:t>
            </w:r>
          </w:p>
        </w:tc>
        <w:tc>
          <w:tcPr>
            <w:tcW w:w="806" w:type="dxa"/>
            <w:tcBorders/>
          </w:tcPr>
          <w:p>
            <w:pPr>
              <w:pStyle w:val="Table"/>
              <w:tabs>
                <w:tab w:val="clear" w:pos="720"/>
                <w:tab w:val="decimal" w:pos="530" w:leader="none"/>
              </w:tabs>
              <w:spacing w:before="0" w:after="120"/>
              <w:rPr/>
            </w:pPr>
            <w:r>
              <w:rPr/>
              <w:t>420</w:t>
            </w:r>
          </w:p>
        </w:tc>
        <w:tc>
          <w:tcPr>
            <w:tcW w:w="806" w:type="dxa"/>
            <w:tcBorders/>
          </w:tcPr>
          <w:p>
            <w:pPr>
              <w:pStyle w:val="Table"/>
              <w:tabs>
                <w:tab w:val="clear" w:pos="720"/>
                <w:tab w:val="decimal" w:pos="444" w:leader="none"/>
              </w:tabs>
              <w:spacing w:before="0" w:after="120"/>
              <w:rPr/>
            </w:pPr>
            <w:r>
              <w:rPr/>
              <w:t>81</w:t>
            </w:r>
          </w:p>
        </w:tc>
      </w:tr>
      <w:tr>
        <w:trPr/>
        <w:tc>
          <w:tcPr>
            <w:tcW w:w="684" w:type="dxa"/>
            <w:tcBorders/>
          </w:tcPr>
          <w:p>
            <w:pPr>
              <w:pStyle w:val="Table"/>
              <w:spacing w:before="0" w:after="120"/>
              <w:jc w:val="center"/>
              <w:rPr/>
            </w:pPr>
            <w:r>
              <w:rPr/>
              <w:t>2</w:t>
            </w:r>
          </w:p>
        </w:tc>
        <w:tc>
          <w:tcPr>
            <w:tcW w:w="4320" w:type="dxa"/>
            <w:tcBorders/>
          </w:tcPr>
          <w:p>
            <w:pPr>
              <w:pStyle w:val="Table"/>
              <w:spacing w:before="0" w:after="120"/>
              <w:rPr/>
            </w:pPr>
            <w:r>
              <w:rPr/>
              <w:t>Sustained Price Scenario Net Issuance</w:t>
            </w:r>
          </w:p>
        </w:tc>
        <w:tc>
          <w:tcPr>
            <w:tcW w:w="806" w:type="dxa"/>
            <w:tcBorders/>
          </w:tcPr>
          <w:p>
            <w:pPr>
              <w:pStyle w:val="Table"/>
              <w:tabs>
                <w:tab w:val="clear" w:pos="720"/>
                <w:tab w:val="decimal" w:pos="522" w:leader="none"/>
              </w:tabs>
              <w:spacing w:before="0" w:after="120"/>
              <w:rPr/>
            </w:pPr>
            <w:r>
              <w:rPr/>
              <w:t>1,950</w:t>
            </w:r>
          </w:p>
        </w:tc>
        <w:tc>
          <w:tcPr>
            <w:tcW w:w="806" w:type="dxa"/>
            <w:tcBorders/>
          </w:tcPr>
          <w:p>
            <w:pPr>
              <w:pStyle w:val="Table"/>
              <w:tabs>
                <w:tab w:val="clear" w:pos="720"/>
                <w:tab w:val="decimal" w:pos="526" w:leader="none"/>
              </w:tabs>
              <w:spacing w:before="0" w:after="120"/>
              <w:rPr/>
            </w:pPr>
            <w:r>
              <w:rPr/>
              <w:t>1,614</w:t>
            </w:r>
          </w:p>
        </w:tc>
        <w:tc>
          <w:tcPr>
            <w:tcW w:w="806" w:type="dxa"/>
            <w:tcBorders/>
          </w:tcPr>
          <w:p>
            <w:pPr>
              <w:pStyle w:val="Table"/>
              <w:tabs>
                <w:tab w:val="clear" w:pos="720"/>
                <w:tab w:val="decimal" w:pos="530" w:leader="none"/>
              </w:tabs>
              <w:spacing w:before="0" w:after="120"/>
              <w:rPr/>
            </w:pPr>
            <w:r>
              <w:rPr/>
              <w:t>1,507</w:t>
            </w:r>
          </w:p>
        </w:tc>
        <w:tc>
          <w:tcPr>
            <w:tcW w:w="806" w:type="dxa"/>
            <w:tcBorders/>
          </w:tcPr>
          <w:p>
            <w:pPr>
              <w:pStyle w:val="Table"/>
              <w:tabs>
                <w:tab w:val="clear" w:pos="720"/>
                <w:tab w:val="decimal" w:pos="444" w:leader="none"/>
              </w:tabs>
              <w:spacing w:before="0" w:after="120"/>
              <w:rPr/>
            </w:pPr>
            <w:r>
              <w:rPr/>
              <w:t>143</w:t>
            </w:r>
          </w:p>
        </w:tc>
      </w:tr>
      <w:tr>
        <w:trPr/>
        <w:tc>
          <w:tcPr>
            <w:tcW w:w="684" w:type="dxa"/>
            <w:tcBorders/>
          </w:tcPr>
          <w:p>
            <w:pPr>
              <w:pStyle w:val="Table"/>
              <w:spacing w:before="0" w:after="120"/>
              <w:jc w:val="center"/>
              <w:rPr/>
            </w:pPr>
            <w:r>
              <w:rPr/>
              <w:t>3</w:t>
            </w:r>
          </w:p>
        </w:tc>
        <w:tc>
          <w:tcPr>
            <w:tcW w:w="4320" w:type="dxa"/>
            <w:tcBorders/>
          </w:tcPr>
          <w:p>
            <w:pPr>
              <w:pStyle w:val="Table"/>
              <w:spacing w:before="0" w:after="120"/>
              <w:rPr/>
            </w:pPr>
            <w:r>
              <w:rPr/>
              <w:t>Additional Requirements For Maturing Debt</w:t>
            </w:r>
          </w:p>
        </w:tc>
        <w:tc>
          <w:tcPr>
            <w:tcW w:w="806" w:type="dxa"/>
            <w:tcBorders/>
          </w:tcPr>
          <w:p>
            <w:pPr>
              <w:pStyle w:val="Table"/>
              <w:tabs>
                <w:tab w:val="clear" w:pos="720"/>
                <w:tab w:val="decimal" w:pos="522" w:leader="none"/>
              </w:tabs>
              <w:spacing w:before="0" w:after="120"/>
              <w:rPr/>
            </w:pPr>
            <w:r>
              <w:rPr/>
              <w:t>259</w:t>
            </w:r>
          </w:p>
        </w:tc>
        <w:tc>
          <w:tcPr>
            <w:tcW w:w="806" w:type="dxa"/>
            <w:tcBorders/>
          </w:tcPr>
          <w:p>
            <w:pPr>
              <w:pStyle w:val="Table"/>
              <w:tabs>
                <w:tab w:val="clear" w:pos="720"/>
                <w:tab w:val="decimal" w:pos="526" w:leader="none"/>
              </w:tabs>
              <w:spacing w:before="0" w:after="120"/>
              <w:rPr/>
            </w:pPr>
            <w:r>
              <w:rPr/>
              <w:t>2,269</w:t>
            </w:r>
          </w:p>
        </w:tc>
        <w:tc>
          <w:tcPr>
            <w:tcW w:w="806" w:type="dxa"/>
            <w:tcBorders/>
          </w:tcPr>
          <w:p>
            <w:pPr>
              <w:pStyle w:val="Table"/>
              <w:tabs>
                <w:tab w:val="clear" w:pos="720"/>
                <w:tab w:val="decimal" w:pos="530" w:leader="none"/>
              </w:tabs>
              <w:spacing w:before="0" w:after="120"/>
              <w:rPr/>
            </w:pPr>
            <w:r>
              <w:rPr/>
              <w:t>381</w:t>
            </w:r>
          </w:p>
        </w:tc>
        <w:tc>
          <w:tcPr>
            <w:tcW w:w="806" w:type="dxa"/>
            <w:tcBorders/>
          </w:tcPr>
          <w:p>
            <w:pPr>
              <w:pStyle w:val="Table"/>
              <w:tabs>
                <w:tab w:val="clear" w:pos="720"/>
                <w:tab w:val="decimal" w:pos="444" w:leader="none"/>
              </w:tabs>
              <w:spacing w:before="0" w:after="120"/>
              <w:rPr/>
            </w:pPr>
            <w:r>
              <w:rPr/>
              <w:t>370</w:t>
            </w:r>
          </w:p>
        </w:tc>
      </w:tr>
      <w:tr>
        <w:trPr/>
        <w:tc>
          <w:tcPr>
            <w:tcW w:w="684" w:type="dxa"/>
            <w:tcBorders/>
          </w:tcPr>
          <w:p>
            <w:pPr>
              <w:pStyle w:val="Table"/>
              <w:spacing w:before="0" w:after="120"/>
              <w:jc w:val="center"/>
              <w:rPr/>
            </w:pPr>
            <w:r>
              <w:rPr/>
              <w:t>4</w:t>
            </w:r>
          </w:p>
        </w:tc>
        <w:tc>
          <w:tcPr>
            <w:tcW w:w="4320" w:type="dxa"/>
            <w:tcBorders/>
          </w:tcPr>
          <w:p>
            <w:pPr>
              <w:pStyle w:val="Table"/>
              <w:spacing w:before="0" w:after="120"/>
              <w:rPr/>
            </w:pPr>
            <w:r>
              <w:rPr/>
              <w:t>Moderating Price Scenario Gross Issuance</w:t>
            </w:r>
          </w:p>
        </w:tc>
        <w:tc>
          <w:tcPr>
            <w:tcW w:w="806" w:type="dxa"/>
            <w:tcBorders/>
          </w:tcPr>
          <w:p>
            <w:pPr>
              <w:pStyle w:val="Table"/>
              <w:tabs>
                <w:tab w:val="clear" w:pos="720"/>
                <w:tab w:val="decimal" w:pos="522" w:leader="none"/>
              </w:tabs>
              <w:spacing w:before="0" w:after="120"/>
              <w:rPr/>
            </w:pPr>
            <w:r>
              <w:rPr/>
              <w:t>2,209</w:t>
            </w:r>
          </w:p>
        </w:tc>
        <w:tc>
          <w:tcPr>
            <w:tcW w:w="806" w:type="dxa"/>
            <w:tcBorders/>
          </w:tcPr>
          <w:p>
            <w:pPr>
              <w:pStyle w:val="Table"/>
              <w:tabs>
                <w:tab w:val="clear" w:pos="720"/>
                <w:tab w:val="decimal" w:pos="526" w:leader="none"/>
              </w:tabs>
              <w:spacing w:before="0" w:after="120"/>
              <w:rPr/>
            </w:pPr>
            <w:r>
              <w:rPr/>
              <w:t>3,284</w:t>
            </w:r>
          </w:p>
        </w:tc>
        <w:tc>
          <w:tcPr>
            <w:tcW w:w="806" w:type="dxa"/>
            <w:tcBorders/>
          </w:tcPr>
          <w:p>
            <w:pPr>
              <w:pStyle w:val="Table"/>
              <w:tabs>
                <w:tab w:val="clear" w:pos="720"/>
                <w:tab w:val="decimal" w:pos="530" w:leader="none"/>
              </w:tabs>
              <w:spacing w:before="0" w:after="120"/>
              <w:rPr/>
            </w:pPr>
            <w:r>
              <w:rPr/>
              <w:t>801</w:t>
            </w:r>
          </w:p>
        </w:tc>
        <w:tc>
          <w:tcPr>
            <w:tcW w:w="806" w:type="dxa"/>
            <w:tcBorders/>
          </w:tcPr>
          <w:p>
            <w:pPr>
              <w:pStyle w:val="Table"/>
              <w:tabs>
                <w:tab w:val="clear" w:pos="720"/>
                <w:tab w:val="decimal" w:pos="444" w:leader="none"/>
              </w:tabs>
              <w:spacing w:before="0" w:after="120"/>
              <w:rPr/>
            </w:pPr>
            <w:r>
              <w:rPr/>
              <w:t>451</w:t>
            </w:r>
          </w:p>
        </w:tc>
      </w:tr>
      <w:tr>
        <w:trPr/>
        <w:tc>
          <w:tcPr>
            <w:tcW w:w="684" w:type="dxa"/>
            <w:tcBorders/>
          </w:tcPr>
          <w:p>
            <w:pPr>
              <w:pStyle w:val="Table"/>
              <w:spacing w:before="0" w:after="120"/>
              <w:jc w:val="center"/>
              <w:rPr/>
            </w:pPr>
            <w:r>
              <w:rPr/>
              <w:t>5</w:t>
            </w:r>
          </w:p>
        </w:tc>
        <w:tc>
          <w:tcPr>
            <w:tcW w:w="4320" w:type="dxa"/>
            <w:tcBorders/>
          </w:tcPr>
          <w:p>
            <w:pPr>
              <w:pStyle w:val="Table"/>
              <w:spacing w:before="0" w:after="120"/>
              <w:rPr/>
            </w:pPr>
            <w:r>
              <w:rPr/>
              <w:t>Sustained Price Scenario Gross Issuance</w:t>
            </w:r>
          </w:p>
        </w:tc>
        <w:tc>
          <w:tcPr>
            <w:tcW w:w="806" w:type="dxa"/>
            <w:tcBorders/>
          </w:tcPr>
          <w:p>
            <w:pPr>
              <w:pStyle w:val="Table"/>
              <w:tabs>
                <w:tab w:val="clear" w:pos="720"/>
                <w:tab w:val="decimal" w:pos="522" w:leader="none"/>
              </w:tabs>
              <w:spacing w:before="0" w:after="120"/>
              <w:rPr/>
            </w:pPr>
            <w:r>
              <w:rPr/>
              <w:t>2,209</w:t>
            </w:r>
          </w:p>
        </w:tc>
        <w:tc>
          <w:tcPr>
            <w:tcW w:w="806" w:type="dxa"/>
            <w:tcBorders/>
          </w:tcPr>
          <w:p>
            <w:pPr>
              <w:pStyle w:val="Table"/>
              <w:tabs>
                <w:tab w:val="clear" w:pos="720"/>
                <w:tab w:val="decimal" w:pos="526" w:leader="none"/>
              </w:tabs>
              <w:spacing w:before="0" w:after="120"/>
              <w:rPr/>
            </w:pPr>
            <w:r>
              <w:rPr/>
              <w:t>3,883</w:t>
            </w:r>
          </w:p>
        </w:tc>
        <w:tc>
          <w:tcPr>
            <w:tcW w:w="806" w:type="dxa"/>
            <w:tcBorders/>
          </w:tcPr>
          <w:p>
            <w:pPr>
              <w:pStyle w:val="Table"/>
              <w:tabs>
                <w:tab w:val="clear" w:pos="720"/>
                <w:tab w:val="decimal" w:pos="530" w:leader="none"/>
              </w:tabs>
              <w:spacing w:before="0" w:after="120"/>
              <w:rPr/>
            </w:pPr>
            <w:r>
              <w:rPr/>
              <w:t>1,888</w:t>
            </w:r>
          </w:p>
        </w:tc>
        <w:tc>
          <w:tcPr>
            <w:tcW w:w="806" w:type="dxa"/>
            <w:tcBorders/>
          </w:tcPr>
          <w:p>
            <w:pPr>
              <w:pStyle w:val="Table"/>
              <w:tabs>
                <w:tab w:val="clear" w:pos="720"/>
                <w:tab w:val="decimal" w:pos="444" w:leader="none"/>
              </w:tabs>
              <w:spacing w:before="0" w:after="120"/>
              <w:rPr/>
            </w:pPr>
            <w:r>
              <w:rPr/>
              <w:t>513</w:t>
            </w:r>
          </w:p>
        </w:tc>
      </w:tr>
      <w:tr>
        <w:trPr/>
        <w:tc>
          <w:tcPr>
            <w:tcW w:w="684" w:type="dxa"/>
            <w:tcBorders/>
          </w:tcPr>
          <w:p>
            <w:pPr>
              <w:pStyle w:val="Table"/>
              <w:snapToGrid w:val="false"/>
              <w:rPr/>
            </w:pPr>
            <w:r>
              <w:rPr/>
            </w:r>
          </w:p>
        </w:tc>
        <w:tc>
          <w:tcPr>
            <w:tcW w:w="4320" w:type="dxa"/>
            <w:tcBorders/>
          </w:tcPr>
          <w:p>
            <w:pPr>
              <w:pStyle w:val="Table"/>
              <w:snapToGrid w:val="false"/>
              <w:rPr/>
            </w:pPr>
            <w:r>
              <w:rPr/>
            </w:r>
          </w:p>
        </w:tc>
        <w:tc>
          <w:tcPr>
            <w:tcW w:w="806" w:type="dxa"/>
            <w:tcBorders/>
          </w:tcPr>
          <w:p>
            <w:pPr>
              <w:pStyle w:val="Table"/>
              <w:tabs>
                <w:tab w:val="clear" w:pos="720"/>
                <w:tab w:val="decimal" w:pos="432" w:leader="none"/>
              </w:tabs>
              <w:snapToGrid w:val="false"/>
              <w:rPr/>
            </w:pPr>
            <w:r>
              <w:rPr/>
            </w:r>
          </w:p>
        </w:tc>
        <w:tc>
          <w:tcPr>
            <w:tcW w:w="806" w:type="dxa"/>
            <w:tcBorders/>
          </w:tcPr>
          <w:p>
            <w:pPr>
              <w:pStyle w:val="Table"/>
              <w:tabs>
                <w:tab w:val="clear" w:pos="720"/>
                <w:tab w:val="decimal" w:pos="436" w:leader="none"/>
              </w:tabs>
              <w:snapToGrid w:val="false"/>
              <w:rPr/>
            </w:pPr>
            <w:r>
              <w:rPr/>
            </w:r>
          </w:p>
        </w:tc>
        <w:tc>
          <w:tcPr>
            <w:tcW w:w="806" w:type="dxa"/>
            <w:tcBorders/>
          </w:tcPr>
          <w:p>
            <w:pPr>
              <w:pStyle w:val="Table"/>
              <w:tabs>
                <w:tab w:val="clear" w:pos="720"/>
                <w:tab w:val="decimal" w:pos="440" w:leader="none"/>
              </w:tabs>
              <w:snapToGrid w:val="false"/>
              <w:rPr/>
            </w:pPr>
            <w:r>
              <w:rPr/>
            </w:r>
          </w:p>
        </w:tc>
        <w:tc>
          <w:tcPr>
            <w:tcW w:w="806" w:type="dxa"/>
            <w:tcBorders/>
          </w:tcPr>
          <w:p>
            <w:pPr>
              <w:pStyle w:val="Table"/>
              <w:tabs>
                <w:tab w:val="clear" w:pos="720"/>
                <w:tab w:val="decimal" w:pos="444" w:leader="none"/>
              </w:tabs>
              <w:snapToGrid w:val="false"/>
              <w:rPr/>
            </w:pPr>
            <w:r>
              <w:rPr/>
            </w:r>
          </w:p>
        </w:tc>
      </w:tr>
    </w:tbl>
    <w:p>
      <w:pPr>
        <w:pStyle w:val="Body2"/>
        <w:rPr/>
      </w:pPr>
      <w:r>
        <w:rPr/>
        <w:t xml:space="preserve">These financing requirements are simply unprecedented for the Company.  The unusual rate of financing is shown in Figure 2 using the annual rate of debt issuance to total capitalization.  The rate of net debt issuance falls to normal levels only when power prices decline.  Moreover, the declining trend is somewhat misleading, since additional debt has a compounding effect on the denominator of this ratio.  During the last 40 years, the Company’s rate of net debt issuance to total capitalization has reached 9 percent only once, in 1979, and averaged only 4 percent during the years of net debt issuance.  </w:t>
      </w:r>
    </w:p>
    <w:p>
      <w:pPr>
        <w:pStyle w:val="TableCaption"/>
        <w:spacing w:before="320" w:after="220"/>
        <w:rPr/>
      </w:pPr>
      <w:r>
        <w:rPr/>
        <w:t>Figure 2</w:t>
        <w:br/>
        <w:t>NET DEBT ISSUANCE TO TOTAL CAPITALIZATION</w:t>
      </w:r>
    </w:p>
    <w:tbl>
      <w:tblPr>
        <w:tblW w:w="7148" w:type="dxa"/>
        <w:jc w:val="start"/>
        <w:tblInd w:w="864" w:type="dxa"/>
        <w:tblLayout w:type="fixed"/>
        <w:tblCellMar>
          <w:top w:w="0" w:type="dxa"/>
          <w:start w:w="108" w:type="dxa"/>
          <w:bottom w:w="0" w:type="dxa"/>
          <w:end w:w="108" w:type="dxa"/>
        </w:tblCellMar>
      </w:tblPr>
      <w:tblGrid>
        <w:gridCol w:w="684"/>
        <w:gridCol w:w="3240"/>
        <w:gridCol w:w="806"/>
        <w:gridCol w:w="806"/>
        <w:gridCol w:w="806"/>
        <w:gridCol w:w="806"/>
      </w:tblGrid>
      <w:tr>
        <w:trPr/>
        <w:tc>
          <w:tcPr>
            <w:tcW w:w="684" w:type="dxa"/>
            <w:tcBorders/>
          </w:tcPr>
          <w:p>
            <w:pPr>
              <w:pStyle w:val="Table"/>
              <w:pBdr>
                <w:bottom w:val="single" w:sz="4" w:space="1" w:color="000000"/>
              </w:pBdr>
              <w:spacing w:before="0" w:after="60"/>
              <w:jc w:val="center"/>
              <w:rPr>
                <w:b/>
                <w:bCs/>
              </w:rPr>
            </w:pPr>
            <w:r>
              <w:rPr>
                <w:b/>
                <w:bCs/>
              </w:rPr>
              <w:t>Line</w:t>
              <w:br/>
              <w:t>No.</w:t>
            </w:r>
          </w:p>
        </w:tc>
        <w:tc>
          <w:tcPr>
            <w:tcW w:w="3240" w:type="dxa"/>
            <w:tcBorders/>
          </w:tcPr>
          <w:p>
            <w:pPr>
              <w:pStyle w:val="Table"/>
              <w:snapToGrid w:val="false"/>
              <w:spacing w:before="0" w:after="60"/>
              <w:jc w:val="center"/>
              <w:rPr>
                <w:b/>
                <w:bCs/>
              </w:rPr>
            </w:pPr>
            <w:r>
              <w:rPr>
                <w:b/>
                <w:bCs/>
              </w:rPr>
            </w:r>
          </w:p>
        </w:tc>
        <w:tc>
          <w:tcPr>
            <w:tcW w:w="806" w:type="dxa"/>
            <w:tcBorders/>
          </w:tcPr>
          <w:p>
            <w:pPr>
              <w:pStyle w:val="Table"/>
              <w:pBdr>
                <w:bottom w:val="single" w:sz="4" w:space="1" w:color="000000"/>
              </w:pBdr>
              <w:spacing w:before="0" w:after="60"/>
              <w:jc w:val="center"/>
              <w:rPr>
                <w:b/>
                <w:bCs/>
              </w:rPr>
            </w:pPr>
            <w:r>
              <w:rPr>
                <w:b/>
                <w:bCs/>
              </w:rPr>
              <w:br/>
              <w:t>2000</w:t>
            </w:r>
          </w:p>
        </w:tc>
        <w:tc>
          <w:tcPr>
            <w:tcW w:w="806" w:type="dxa"/>
            <w:tcBorders/>
          </w:tcPr>
          <w:p>
            <w:pPr>
              <w:pStyle w:val="Table"/>
              <w:pBdr>
                <w:bottom w:val="single" w:sz="4" w:space="1" w:color="000000"/>
              </w:pBdr>
              <w:spacing w:before="0" w:after="60"/>
              <w:jc w:val="center"/>
              <w:rPr>
                <w:b/>
                <w:bCs/>
              </w:rPr>
            </w:pPr>
            <w:r>
              <w:rPr>
                <w:b/>
                <w:bCs/>
              </w:rPr>
              <w:br/>
              <w:t>2001</w:t>
            </w:r>
          </w:p>
        </w:tc>
        <w:tc>
          <w:tcPr>
            <w:tcW w:w="806" w:type="dxa"/>
            <w:tcBorders/>
          </w:tcPr>
          <w:p>
            <w:pPr>
              <w:pStyle w:val="Table"/>
              <w:pBdr>
                <w:bottom w:val="single" w:sz="4" w:space="1" w:color="000000"/>
              </w:pBdr>
              <w:spacing w:before="0" w:after="60"/>
              <w:jc w:val="center"/>
              <w:rPr>
                <w:b/>
                <w:bCs/>
              </w:rPr>
            </w:pPr>
            <w:r>
              <w:rPr>
                <w:b/>
                <w:bCs/>
              </w:rPr>
              <w:br/>
              <w:t>2002</w:t>
            </w:r>
          </w:p>
        </w:tc>
        <w:tc>
          <w:tcPr>
            <w:tcW w:w="806" w:type="dxa"/>
            <w:tcBorders/>
          </w:tcPr>
          <w:p>
            <w:pPr>
              <w:pStyle w:val="Table"/>
              <w:pBdr>
                <w:bottom w:val="single" w:sz="4" w:space="1" w:color="000000"/>
              </w:pBdr>
              <w:spacing w:before="0" w:after="60"/>
              <w:jc w:val="center"/>
              <w:rPr>
                <w:b/>
                <w:bCs/>
              </w:rPr>
            </w:pPr>
            <w:r>
              <w:rPr>
                <w:b/>
                <w:bCs/>
              </w:rPr>
              <w:br/>
              <w:t>2003</w:t>
            </w:r>
          </w:p>
        </w:tc>
      </w:tr>
      <w:tr>
        <w:trPr>
          <w:trHeight w:val="368" w:hRule="atLeast"/>
        </w:trPr>
        <w:tc>
          <w:tcPr>
            <w:tcW w:w="684" w:type="dxa"/>
            <w:tcBorders/>
          </w:tcPr>
          <w:p>
            <w:pPr>
              <w:pStyle w:val="Table"/>
              <w:spacing w:before="0" w:after="120"/>
              <w:jc w:val="center"/>
              <w:rPr/>
            </w:pPr>
            <w:r>
              <w:rPr/>
              <w:t>1</w:t>
            </w:r>
          </w:p>
        </w:tc>
        <w:tc>
          <w:tcPr>
            <w:tcW w:w="3240" w:type="dxa"/>
            <w:tcBorders/>
          </w:tcPr>
          <w:p>
            <w:pPr>
              <w:pStyle w:val="Table"/>
              <w:spacing w:before="0" w:after="120"/>
              <w:rPr/>
            </w:pPr>
            <w:r>
              <w:rPr/>
              <w:t>Moderating Price Scenario</w:t>
            </w:r>
          </w:p>
        </w:tc>
        <w:tc>
          <w:tcPr>
            <w:tcW w:w="806" w:type="dxa"/>
            <w:tcBorders/>
          </w:tcPr>
          <w:p>
            <w:pPr>
              <w:pStyle w:val="Table"/>
              <w:tabs>
                <w:tab w:val="clear" w:pos="720"/>
                <w:tab w:val="decimal" w:pos="432" w:leader="none"/>
              </w:tabs>
              <w:spacing w:before="0" w:after="120"/>
              <w:rPr/>
            </w:pPr>
            <w:r>
              <w:rPr/>
              <w:t>16.0%</w:t>
            </w:r>
          </w:p>
        </w:tc>
        <w:tc>
          <w:tcPr>
            <w:tcW w:w="806" w:type="dxa"/>
            <w:tcBorders/>
          </w:tcPr>
          <w:p>
            <w:pPr>
              <w:pStyle w:val="Table"/>
              <w:tabs>
                <w:tab w:val="clear" w:pos="720"/>
                <w:tab w:val="decimal" w:pos="436" w:leader="none"/>
              </w:tabs>
              <w:spacing w:before="0" w:after="120"/>
              <w:rPr/>
            </w:pPr>
            <w:r>
              <w:rPr/>
              <w:t>6.8%</w:t>
            </w:r>
          </w:p>
        </w:tc>
        <w:tc>
          <w:tcPr>
            <w:tcW w:w="806" w:type="dxa"/>
            <w:tcBorders/>
          </w:tcPr>
          <w:p>
            <w:pPr>
              <w:pStyle w:val="Table"/>
              <w:tabs>
                <w:tab w:val="clear" w:pos="720"/>
                <w:tab w:val="decimal" w:pos="350" w:leader="none"/>
              </w:tabs>
              <w:spacing w:before="0" w:after="120"/>
              <w:rPr/>
            </w:pPr>
            <w:r>
              <w:rPr/>
              <w:t>2.7%</w:t>
            </w:r>
          </w:p>
        </w:tc>
        <w:tc>
          <w:tcPr>
            <w:tcW w:w="806" w:type="dxa"/>
            <w:tcBorders/>
          </w:tcPr>
          <w:p>
            <w:pPr>
              <w:pStyle w:val="Table"/>
              <w:tabs>
                <w:tab w:val="clear" w:pos="720"/>
                <w:tab w:val="decimal" w:pos="354" w:leader="none"/>
              </w:tabs>
              <w:spacing w:before="0" w:after="120"/>
              <w:rPr/>
            </w:pPr>
            <w:r>
              <w:rPr/>
              <w:t>0.5%</w:t>
            </w:r>
          </w:p>
        </w:tc>
      </w:tr>
      <w:tr>
        <w:trPr/>
        <w:tc>
          <w:tcPr>
            <w:tcW w:w="684" w:type="dxa"/>
            <w:tcBorders/>
          </w:tcPr>
          <w:p>
            <w:pPr>
              <w:pStyle w:val="Table"/>
              <w:spacing w:before="0" w:after="120"/>
              <w:jc w:val="center"/>
              <w:rPr/>
            </w:pPr>
            <w:r>
              <w:rPr/>
              <w:t>2</w:t>
            </w:r>
          </w:p>
        </w:tc>
        <w:tc>
          <w:tcPr>
            <w:tcW w:w="3240" w:type="dxa"/>
            <w:tcBorders/>
          </w:tcPr>
          <w:p>
            <w:pPr>
              <w:pStyle w:val="Table"/>
              <w:spacing w:before="0" w:after="120"/>
              <w:rPr/>
            </w:pPr>
            <w:r>
              <w:rPr/>
              <w:t>Sustained Price Scenario</w:t>
            </w:r>
          </w:p>
        </w:tc>
        <w:tc>
          <w:tcPr>
            <w:tcW w:w="806" w:type="dxa"/>
            <w:tcBorders/>
          </w:tcPr>
          <w:p>
            <w:pPr>
              <w:pStyle w:val="Table"/>
              <w:tabs>
                <w:tab w:val="clear" w:pos="720"/>
                <w:tab w:val="decimal" w:pos="432" w:leader="none"/>
              </w:tabs>
              <w:spacing w:before="0" w:after="120"/>
              <w:rPr/>
            </w:pPr>
            <w:r>
              <w:rPr/>
              <w:t>16.0%</w:t>
            </w:r>
          </w:p>
        </w:tc>
        <w:tc>
          <w:tcPr>
            <w:tcW w:w="806" w:type="dxa"/>
            <w:tcBorders/>
          </w:tcPr>
          <w:p>
            <w:pPr>
              <w:pStyle w:val="Table"/>
              <w:tabs>
                <w:tab w:val="clear" w:pos="720"/>
                <w:tab w:val="decimal" w:pos="436" w:leader="none"/>
              </w:tabs>
              <w:spacing w:before="0" w:after="120"/>
              <w:rPr/>
            </w:pPr>
            <w:r>
              <w:rPr/>
              <w:t>10.9%</w:t>
            </w:r>
          </w:p>
        </w:tc>
        <w:tc>
          <w:tcPr>
            <w:tcW w:w="806" w:type="dxa"/>
            <w:tcBorders/>
          </w:tcPr>
          <w:p>
            <w:pPr>
              <w:pStyle w:val="Table"/>
              <w:tabs>
                <w:tab w:val="clear" w:pos="720"/>
                <w:tab w:val="decimal" w:pos="350" w:leader="none"/>
              </w:tabs>
              <w:spacing w:before="0" w:after="120"/>
              <w:rPr/>
            </w:pPr>
            <w:r>
              <w:rPr/>
              <w:t>9.1%</w:t>
            </w:r>
          </w:p>
        </w:tc>
        <w:tc>
          <w:tcPr>
            <w:tcW w:w="806" w:type="dxa"/>
            <w:tcBorders/>
          </w:tcPr>
          <w:p>
            <w:pPr>
              <w:pStyle w:val="Table"/>
              <w:tabs>
                <w:tab w:val="clear" w:pos="720"/>
                <w:tab w:val="decimal" w:pos="354" w:leader="none"/>
              </w:tabs>
              <w:spacing w:before="0" w:after="120"/>
              <w:rPr/>
            </w:pPr>
            <w:r>
              <w:rPr/>
              <w:t>0.7%</w:t>
            </w:r>
          </w:p>
        </w:tc>
      </w:tr>
      <w:tr>
        <w:trPr/>
        <w:tc>
          <w:tcPr>
            <w:tcW w:w="684" w:type="dxa"/>
            <w:tcBorders/>
          </w:tcPr>
          <w:p>
            <w:pPr>
              <w:pStyle w:val="Table"/>
              <w:snapToGrid w:val="false"/>
              <w:rPr/>
            </w:pPr>
            <w:r>
              <w:rPr/>
            </w:r>
          </w:p>
        </w:tc>
        <w:tc>
          <w:tcPr>
            <w:tcW w:w="3240" w:type="dxa"/>
            <w:tcBorders/>
          </w:tcPr>
          <w:p>
            <w:pPr>
              <w:pStyle w:val="Table"/>
              <w:snapToGrid w:val="false"/>
              <w:rPr/>
            </w:pPr>
            <w:r>
              <w:rPr/>
            </w:r>
          </w:p>
        </w:tc>
        <w:tc>
          <w:tcPr>
            <w:tcW w:w="806" w:type="dxa"/>
            <w:tcBorders/>
          </w:tcPr>
          <w:p>
            <w:pPr>
              <w:pStyle w:val="Table"/>
              <w:snapToGrid w:val="false"/>
              <w:rPr/>
            </w:pPr>
            <w:r>
              <w:rPr/>
            </w:r>
          </w:p>
        </w:tc>
        <w:tc>
          <w:tcPr>
            <w:tcW w:w="806" w:type="dxa"/>
            <w:tcBorders/>
          </w:tcPr>
          <w:p>
            <w:pPr>
              <w:pStyle w:val="Table"/>
              <w:snapToGrid w:val="false"/>
              <w:rPr/>
            </w:pPr>
            <w:r>
              <w:rPr/>
            </w:r>
          </w:p>
        </w:tc>
        <w:tc>
          <w:tcPr>
            <w:tcW w:w="806" w:type="dxa"/>
            <w:tcBorders/>
          </w:tcPr>
          <w:p>
            <w:pPr>
              <w:pStyle w:val="Table"/>
              <w:snapToGrid w:val="false"/>
              <w:rPr/>
            </w:pPr>
            <w:r>
              <w:rPr/>
            </w:r>
          </w:p>
        </w:tc>
        <w:tc>
          <w:tcPr>
            <w:tcW w:w="806" w:type="dxa"/>
            <w:tcBorders/>
          </w:tcPr>
          <w:p>
            <w:pPr>
              <w:pStyle w:val="Table"/>
              <w:snapToGrid w:val="false"/>
              <w:rPr/>
            </w:pPr>
            <w:r>
              <w:rPr/>
            </w:r>
          </w:p>
        </w:tc>
      </w:tr>
    </w:tbl>
    <w:p>
      <w:pPr>
        <w:pStyle w:val="Body2"/>
        <w:rPr/>
      </w:pPr>
      <w:r>
        <w:rPr/>
        <w:t xml:space="preserve">Moreover, the absolute level of debt issuance is staggering compared with historic levels.  Net debt issuance on PG&amp;E’s credit standing reached $1 billion only once, in 1984, and totaled $.75 billion only three times.  (It should be noted that the 1997 RRB financing is excluded from these figures, since it did not rely upon PG&amp;E’s credit rating.)  </w:t>
      </w:r>
    </w:p>
    <w:p>
      <w:pPr>
        <w:pStyle w:val="Body2"/>
        <w:rPr/>
      </w:pPr>
      <w:r>
        <w:rPr/>
        <w:t>A high rate of capital formation is not necessarily problematic if a company is either:  (1) financing high quality assets, which are expected to provide future economic benefits, or (2) refinancing existing debt obligations of a company with a stable or strengthening credit risk profile.  Neither condition exists for PG&amp;E.  The assets it is financing are primarily operating cost deferrals, which do not provide any future economic benefit to society.  PG&amp;E’s credit risk profile can hardly be described as stable—indeed, the credit rating agencies have placed the Company’s debt obligations on watch for a possible downgrade.  Based on the current condition of the Company’s financial credit ratios, it is clear that the rating agency notices of possible downgrade are a short</w:t>
        <w:noBreakHyphen/>
        <w:t>term grace period.</w:t>
      </w:r>
    </w:p>
    <w:p>
      <w:pPr>
        <w:pStyle w:val="Heading2"/>
        <w:ind w:firstLine="432" w:start="0"/>
        <w:rPr/>
      </w:pPr>
      <w:bookmarkStart w:id="3" w:name="__RefHeading___Toc499524199"/>
      <w:bookmarkEnd w:id="3"/>
      <w:r>
        <w:rPr/>
        <w:t>Key Credit Ratios for PG&amp;E Demonstrate a Severely Weakened Credit Profile</w:t>
      </w:r>
    </w:p>
    <w:p>
      <w:pPr>
        <w:pStyle w:val="Body2"/>
        <w:rPr/>
      </w:pPr>
      <w:r>
        <w:rPr/>
        <w:t>Credit analysts use a number of financial ratios to assess the financial health and credit risk of a company.  Recorded and pro</w:t>
        <w:noBreakHyphen/>
        <w:t>forma estimates of these ratios can then be compared with industry norms or benchmarks published by the credit rating agency Standard and Poor’s to estimate the risk profile and appropriate credit rating for a borrower.</w:t>
      </w:r>
    </w:p>
    <w:p>
      <w:pPr>
        <w:pStyle w:val="Body2"/>
        <w:rPr/>
      </w:pPr>
      <w:r>
        <w:rPr/>
        <w:t>Three major caveats are necessary for interpreting these financial ratios.  First, creditors and rating agencies are concerned more with trends and the sustainability of long</w:t>
        <w:noBreakHyphen/>
        <w:t>term financial health than an immediate, short</w:t>
        <w:noBreakHyphen/>
        <w:t>term “snapshot.”  Creditors will look past a short</w:t>
        <w:noBreakHyphen/>
        <w:t>term phenomenon if a business’s long</w:t>
        <w:noBreakHyphen/>
        <w:t>term outlook is fundamentally healthy and has adequate financial liquidity to endure a short</w:t>
        <w:noBreakHyphen/>
        <w:t>term disruption.  So far during 2000, creditors have generally given the Company the benefit of the doubt.  This point of view will almost certainly change well before next summer.</w:t>
      </w:r>
    </w:p>
    <w:p>
      <w:pPr>
        <w:pStyle w:val="Body2"/>
        <w:rPr/>
      </w:pPr>
      <w:r>
        <w:rPr/>
        <w:t>Second, some ratios are clearly more important than others in assessing financial condition.  As noted in Chapter 5, the most important ratios are those showing the relationship between cash flow and debt or debt service.  These include the ratios Funds From Operations (FFO) times interest coverage (where FFO is internally generated, after</w:t>
        <w:noBreakHyphen/>
        <w:t>tax, cash flow) and FFO to total debt.  The least important ratio is the debt ratio (total debt divided by total capitalization), since it is based on the accounting balance sheet, which can be different from the economic value of a company and the expected future cash flow its assets will generate.  Still, the accounting</w:t>
        <w:noBreakHyphen/>
        <w:t>based debt ratio is relevant for utility companies predominantly under cost of service rate regulation.  Likewise, earnings</w:t>
        <w:noBreakHyphen/>
        <w:t>based pre</w:t>
        <w:noBreakHyphen/>
        <w:t>tax interest coverage can be a misleading indicator of credit strength.  A company can enjoy high accrual accounting earnings, yet run out of cash and become bankrupt.</w:t>
      </w:r>
    </w:p>
    <w:p>
      <w:pPr>
        <w:pStyle w:val="Body2"/>
        <w:rPr/>
      </w:pPr>
      <w:r>
        <w:rPr/>
        <w:t>Third, credit analysts rely on qualitative as well as quantitative indicators of credit risk.  Qualitative assessments of business conditions, competitive position, regulatory environment, and management quality can significantly affect credit assessments.</w:t>
      </w:r>
    </w:p>
    <w:p>
      <w:pPr>
        <w:pStyle w:val="Body2"/>
        <w:rPr/>
      </w:pPr>
      <w:r>
        <w:rPr/>
        <w:t xml:space="preserve">Figures 3 and 4 show the most important ratios, funds from operations interest coverage and funds from operations to total debt for the two financial scenarios, as well as “benchmarks” published by Standard and Poor’s for utilities with </w:t>
      </w:r>
      <w:r>
        <w:rPr>
          <w:u w:val="single"/>
        </w:rPr>
        <w:t>average</w:t>
      </w:r>
      <w:r>
        <w:rPr/>
        <w:t xml:space="preserve"> business risk profiles (though the current electricity crisis is hardly consistent with an average risk profile).  </w:t>
      </w:r>
    </w:p>
    <w:p>
      <w:pPr>
        <w:pStyle w:val="Body2"/>
        <w:rPr/>
      </w:pPr>
      <w:r>
        <w:rPr/>
        <w:t>Under the moderating PX price scenario, interest coverage is significantly weaker than required to maintain an investment grade credit rating through 2001, but gradually improves as power prices moderate.  In this scenario, the Company conceivably could retain a weak investment grade credit rating based only on the trend in financial ratios.  However, it would be highly at risk to any other financial shock related to its energy procurement prices, Commission decisions, the California economy, or financial markets.  FFO to total debt is well below levels required for an investment grade rating.</w:t>
      </w:r>
    </w:p>
    <w:p>
      <w:pPr>
        <w:pStyle w:val="TableCaption"/>
        <w:rPr/>
      </w:pPr>
      <w:r>
        <w:rPr/>
        <w:t>TABLE 3-3</w:t>
        <w:br/>
        <w:t>FFO to interest coverage</w:t>
      </w:r>
    </w:p>
    <w:tbl>
      <w:tblPr>
        <w:tblW w:w="8582" w:type="dxa"/>
        <w:jc w:val="center"/>
        <w:tblInd w:w="0" w:type="dxa"/>
        <w:tblLayout w:type="fixed"/>
        <w:tblCellMar>
          <w:top w:w="0" w:type="dxa"/>
          <w:start w:w="108" w:type="dxa"/>
          <w:bottom w:w="0" w:type="dxa"/>
          <w:end w:w="108" w:type="dxa"/>
        </w:tblCellMar>
      </w:tblPr>
      <w:tblGrid>
        <w:gridCol w:w="900"/>
        <w:gridCol w:w="3536"/>
        <w:gridCol w:w="1035"/>
        <w:gridCol w:w="1037"/>
        <w:gridCol w:w="1037"/>
        <w:gridCol w:w="1037"/>
      </w:tblGrid>
      <w:tr>
        <w:trPr/>
        <w:tc>
          <w:tcPr>
            <w:tcW w:w="900" w:type="dxa"/>
            <w:tcBorders/>
          </w:tcPr>
          <w:p>
            <w:pPr>
              <w:pStyle w:val="Table-FirstRow"/>
              <w:pBdr>
                <w:bottom w:val="single" w:sz="4" w:space="1" w:color="000000"/>
              </w:pBdr>
              <w:spacing w:before="120" w:after="0"/>
              <w:jc w:val="center"/>
              <w:rPr>
                <w:b/>
                <w:bCs/>
              </w:rPr>
            </w:pPr>
            <w:r>
              <w:rPr>
                <w:b/>
                <w:bCs/>
              </w:rPr>
              <w:t>Line</w:t>
              <w:br/>
              <w:t>No.</w:t>
            </w:r>
          </w:p>
        </w:tc>
        <w:tc>
          <w:tcPr>
            <w:tcW w:w="3536" w:type="dxa"/>
            <w:tcBorders/>
          </w:tcPr>
          <w:p>
            <w:pPr>
              <w:pStyle w:val="Table-FirstRow"/>
              <w:snapToGrid w:val="false"/>
              <w:spacing w:before="120" w:after="0"/>
              <w:jc w:val="center"/>
              <w:rPr>
                <w:b/>
                <w:bCs/>
              </w:rPr>
            </w:pPr>
            <w:r>
              <w:rPr>
                <w:b/>
                <w:bCs/>
              </w:rPr>
            </w:r>
          </w:p>
        </w:tc>
        <w:tc>
          <w:tcPr>
            <w:tcW w:w="1035" w:type="dxa"/>
            <w:tcBorders/>
          </w:tcPr>
          <w:p>
            <w:pPr>
              <w:pStyle w:val="Table-FirstRow"/>
              <w:pBdr>
                <w:bottom w:val="single" w:sz="4" w:space="1" w:color="000000"/>
              </w:pBdr>
              <w:spacing w:before="120" w:after="0"/>
              <w:jc w:val="center"/>
              <w:rPr/>
            </w:pPr>
            <w:r>
              <w:rPr>
                <w:b/>
                <w:u w:val="single"/>
              </w:rPr>
              <w:br/>
            </w:r>
            <w:r>
              <w:rPr>
                <w:b/>
              </w:rPr>
              <w:t>2000</w:t>
            </w:r>
          </w:p>
        </w:tc>
        <w:tc>
          <w:tcPr>
            <w:tcW w:w="1037" w:type="dxa"/>
            <w:tcBorders/>
          </w:tcPr>
          <w:p>
            <w:pPr>
              <w:pStyle w:val="Table-FirstRow"/>
              <w:pBdr>
                <w:bottom w:val="single" w:sz="4" w:space="1" w:color="000000"/>
              </w:pBdr>
              <w:spacing w:before="120" w:after="0"/>
              <w:jc w:val="center"/>
              <w:rPr/>
            </w:pPr>
            <w:r>
              <w:rPr>
                <w:b/>
                <w:u w:val="single"/>
              </w:rPr>
              <w:br/>
            </w:r>
            <w:r>
              <w:rPr>
                <w:b/>
              </w:rPr>
              <w:t>2001</w:t>
            </w:r>
          </w:p>
        </w:tc>
        <w:tc>
          <w:tcPr>
            <w:tcW w:w="1037" w:type="dxa"/>
            <w:tcBorders/>
          </w:tcPr>
          <w:p>
            <w:pPr>
              <w:pStyle w:val="Table-FirstRow"/>
              <w:pBdr>
                <w:bottom w:val="single" w:sz="4" w:space="1" w:color="000000"/>
              </w:pBdr>
              <w:spacing w:before="120" w:after="120"/>
              <w:jc w:val="center"/>
              <w:rPr/>
            </w:pPr>
            <w:r>
              <w:rPr>
                <w:b/>
                <w:u w:val="single"/>
              </w:rPr>
              <w:br/>
            </w:r>
            <w:r>
              <w:rPr>
                <w:b/>
              </w:rPr>
              <w:t>2002</w:t>
            </w:r>
          </w:p>
        </w:tc>
        <w:tc>
          <w:tcPr>
            <w:tcW w:w="1037" w:type="dxa"/>
            <w:tcBorders/>
          </w:tcPr>
          <w:p>
            <w:pPr>
              <w:pStyle w:val="Table-FirstRow"/>
              <w:pBdr>
                <w:bottom w:val="single" w:sz="4" w:space="1" w:color="000000"/>
              </w:pBdr>
              <w:spacing w:before="120" w:after="120"/>
              <w:jc w:val="center"/>
              <w:rPr>
                <w:b/>
              </w:rPr>
            </w:pPr>
            <w:r>
              <w:rPr>
                <w:b/>
              </w:rPr>
              <w:br/>
              <w:t>2003</w:t>
            </w:r>
          </w:p>
        </w:tc>
      </w:tr>
      <w:tr>
        <w:trPr/>
        <w:tc>
          <w:tcPr>
            <w:tcW w:w="900" w:type="dxa"/>
            <w:tcBorders/>
          </w:tcPr>
          <w:p>
            <w:pPr>
              <w:pStyle w:val="Table"/>
              <w:spacing w:before="0" w:after="120"/>
              <w:jc w:val="center"/>
              <w:rPr/>
            </w:pPr>
            <w:r>
              <w:rPr/>
              <w:t>1</w:t>
            </w:r>
          </w:p>
        </w:tc>
        <w:tc>
          <w:tcPr>
            <w:tcW w:w="3536" w:type="dxa"/>
            <w:tcBorders/>
          </w:tcPr>
          <w:p>
            <w:pPr>
              <w:pStyle w:val="Table"/>
              <w:spacing w:before="0" w:after="120"/>
              <w:rPr/>
            </w:pPr>
            <w:r>
              <w:rPr/>
              <w:t>BBB Benchmark</w:t>
            </w:r>
          </w:p>
        </w:tc>
        <w:tc>
          <w:tcPr>
            <w:tcW w:w="1035" w:type="dxa"/>
            <w:tcBorders/>
          </w:tcPr>
          <w:p>
            <w:pPr>
              <w:pStyle w:val="Table"/>
              <w:spacing w:before="0" w:after="120"/>
              <w:jc w:val="center"/>
              <w:rPr/>
            </w:pPr>
            <w:r>
              <w:rPr/>
              <w:t>3.5</w:t>
            </w:r>
          </w:p>
        </w:tc>
        <w:tc>
          <w:tcPr>
            <w:tcW w:w="1037" w:type="dxa"/>
            <w:tcBorders/>
          </w:tcPr>
          <w:p>
            <w:pPr>
              <w:pStyle w:val="Table"/>
              <w:spacing w:before="0" w:after="120"/>
              <w:jc w:val="center"/>
              <w:rPr/>
            </w:pPr>
            <w:r>
              <w:rPr/>
              <w:t>3.5</w:t>
            </w:r>
          </w:p>
        </w:tc>
        <w:tc>
          <w:tcPr>
            <w:tcW w:w="1037" w:type="dxa"/>
            <w:tcBorders/>
          </w:tcPr>
          <w:p>
            <w:pPr>
              <w:pStyle w:val="Table"/>
              <w:spacing w:before="0" w:after="120"/>
              <w:jc w:val="center"/>
              <w:rPr/>
            </w:pPr>
            <w:r>
              <w:rPr/>
              <w:t>3.5</w:t>
            </w:r>
          </w:p>
        </w:tc>
        <w:tc>
          <w:tcPr>
            <w:tcW w:w="1037" w:type="dxa"/>
            <w:tcBorders/>
          </w:tcPr>
          <w:p>
            <w:pPr>
              <w:pStyle w:val="Table"/>
              <w:spacing w:before="0" w:after="120"/>
              <w:jc w:val="center"/>
              <w:rPr/>
            </w:pPr>
            <w:r>
              <w:rPr/>
              <w:t>3.5</w:t>
            </w:r>
          </w:p>
        </w:tc>
      </w:tr>
      <w:tr>
        <w:trPr/>
        <w:tc>
          <w:tcPr>
            <w:tcW w:w="900" w:type="dxa"/>
            <w:tcBorders/>
          </w:tcPr>
          <w:p>
            <w:pPr>
              <w:pStyle w:val="Table"/>
              <w:spacing w:before="0" w:after="120"/>
              <w:jc w:val="center"/>
              <w:rPr/>
            </w:pPr>
            <w:r>
              <w:rPr/>
              <w:t>2</w:t>
            </w:r>
          </w:p>
        </w:tc>
        <w:tc>
          <w:tcPr>
            <w:tcW w:w="3536" w:type="dxa"/>
            <w:tcBorders/>
          </w:tcPr>
          <w:p>
            <w:pPr>
              <w:pStyle w:val="Table"/>
              <w:spacing w:before="0" w:after="120"/>
              <w:rPr/>
            </w:pPr>
            <w:r>
              <w:rPr/>
              <w:t>BB Benchmark</w:t>
            </w:r>
          </w:p>
        </w:tc>
        <w:tc>
          <w:tcPr>
            <w:tcW w:w="1035" w:type="dxa"/>
            <w:tcBorders/>
          </w:tcPr>
          <w:p>
            <w:pPr>
              <w:pStyle w:val="Table"/>
              <w:spacing w:before="0" w:after="120"/>
              <w:jc w:val="center"/>
              <w:rPr/>
            </w:pPr>
            <w:r>
              <w:rPr/>
              <w:t>2.5</w:t>
            </w:r>
          </w:p>
        </w:tc>
        <w:tc>
          <w:tcPr>
            <w:tcW w:w="1037" w:type="dxa"/>
            <w:tcBorders/>
          </w:tcPr>
          <w:p>
            <w:pPr>
              <w:pStyle w:val="Table"/>
              <w:spacing w:before="0" w:after="120"/>
              <w:jc w:val="center"/>
              <w:rPr/>
            </w:pPr>
            <w:r>
              <w:rPr/>
              <w:t>2.5</w:t>
            </w:r>
          </w:p>
        </w:tc>
        <w:tc>
          <w:tcPr>
            <w:tcW w:w="1037" w:type="dxa"/>
            <w:tcBorders/>
          </w:tcPr>
          <w:p>
            <w:pPr>
              <w:pStyle w:val="Table"/>
              <w:spacing w:before="0" w:after="120"/>
              <w:jc w:val="center"/>
              <w:rPr/>
            </w:pPr>
            <w:r>
              <w:rPr/>
              <w:t>2.5</w:t>
            </w:r>
          </w:p>
        </w:tc>
        <w:tc>
          <w:tcPr>
            <w:tcW w:w="1037" w:type="dxa"/>
            <w:tcBorders/>
          </w:tcPr>
          <w:p>
            <w:pPr>
              <w:pStyle w:val="Table"/>
              <w:spacing w:before="0" w:after="120"/>
              <w:jc w:val="center"/>
              <w:rPr/>
            </w:pPr>
            <w:r>
              <w:rPr/>
              <w:t>2.5</w:t>
            </w:r>
          </w:p>
        </w:tc>
      </w:tr>
      <w:tr>
        <w:trPr/>
        <w:tc>
          <w:tcPr>
            <w:tcW w:w="900" w:type="dxa"/>
            <w:tcBorders/>
          </w:tcPr>
          <w:p>
            <w:pPr>
              <w:pStyle w:val="Table"/>
              <w:spacing w:before="0" w:after="120"/>
              <w:jc w:val="center"/>
              <w:rPr/>
            </w:pPr>
            <w:r>
              <w:rPr/>
              <w:t>3</w:t>
            </w:r>
          </w:p>
        </w:tc>
        <w:tc>
          <w:tcPr>
            <w:tcW w:w="3536" w:type="dxa"/>
            <w:tcBorders/>
          </w:tcPr>
          <w:p>
            <w:pPr>
              <w:pStyle w:val="Table"/>
              <w:spacing w:before="0" w:after="120"/>
              <w:rPr/>
            </w:pPr>
            <w:r>
              <w:rPr/>
              <w:t>Moderating Price Scenario</w:t>
            </w:r>
          </w:p>
        </w:tc>
        <w:tc>
          <w:tcPr>
            <w:tcW w:w="1035" w:type="dxa"/>
            <w:tcBorders/>
          </w:tcPr>
          <w:p>
            <w:pPr>
              <w:pStyle w:val="Table"/>
              <w:spacing w:before="0" w:after="120"/>
              <w:jc w:val="center"/>
              <w:rPr/>
            </w:pPr>
            <w:r>
              <w:rPr/>
              <w:t>1.4</w:t>
            </w:r>
          </w:p>
        </w:tc>
        <w:tc>
          <w:tcPr>
            <w:tcW w:w="1037" w:type="dxa"/>
            <w:tcBorders/>
          </w:tcPr>
          <w:p>
            <w:pPr>
              <w:pStyle w:val="Table"/>
              <w:spacing w:before="0" w:after="120"/>
              <w:jc w:val="center"/>
              <w:rPr/>
            </w:pPr>
            <w:r>
              <w:rPr/>
              <w:t>2.8</w:t>
            </w:r>
          </w:p>
        </w:tc>
        <w:tc>
          <w:tcPr>
            <w:tcW w:w="1037" w:type="dxa"/>
            <w:tcBorders/>
          </w:tcPr>
          <w:p>
            <w:pPr>
              <w:pStyle w:val="Table"/>
              <w:spacing w:before="0" w:after="120"/>
              <w:jc w:val="center"/>
              <w:rPr/>
            </w:pPr>
            <w:r>
              <w:rPr/>
              <w:t>3.4</w:t>
            </w:r>
          </w:p>
        </w:tc>
        <w:tc>
          <w:tcPr>
            <w:tcW w:w="1037" w:type="dxa"/>
            <w:tcBorders/>
          </w:tcPr>
          <w:p>
            <w:pPr>
              <w:pStyle w:val="Table"/>
              <w:spacing w:before="0" w:after="120"/>
              <w:jc w:val="center"/>
              <w:rPr/>
            </w:pPr>
            <w:r>
              <w:rPr/>
              <w:t>3.9</w:t>
            </w:r>
          </w:p>
        </w:tc>
      </w:tr>
      <w:tr>
        <w:trPr/>
        <w:tc>
          <w:tcPr>
            <w:tcW w:w="900" w:type="dxa"/>
            <w:tcBorders/>
          </w:tcPr>
          <w:p>
            <w:pPr>
              <w:pStyle w:val="Table"/>
              <w:spacing w:before="0" w:after="120"/>
              <w:jc w:val="center"/>
              <w:rPr/>
            </w:pPr>
            <w:r>
              <w:rPr/>
              <w:t>4</w:t>
            </w:r>
          </w:p>
        </w:tc>
        <w:tc>
          <w:tcPr>
            <w:tcW w:w="3536" w:type="dxa"/>
            <w:tcBorders/>
          </w:tcPr>
          <w:p>
            <w:pPr>
              <w:pStyle w:val="Table"/>
              <w:spacing w:before="0" w:after="120"/>
              <w:rPr/>
            </w:pPr>
            <w:r>
              <w:rPr/>
              <w:t>Sustained Price Scenario</w:t>
            </w:r>
          </w:p>
        </w:tc>
        <w:tc>
          <w:tcPr>
            <w:tcW w:w="1035" w:type="dxa"/>
            <w:tcBorders/>
          </w:tcPr>
          <w:p>
            <w:pPr>
              <w:pStyle w:val="Table"/>
              <w:spacing w:before="0" w:after="120"/>
              <w:jc w:val="center"/>
              <w:rPr/>
            </w:pPr>
            <w:r>
              <w:rPr/>
              <w:t>1.4</w:t>
            </w:r>
          </w:p>
        </w:tc>
        <w:tc>
          <w:tcPr>
            <w:tcW w:w="1037" w:type="dxa"/>
            <w:tcBorders/>
          </w:tcPr>
          <w:p>
            <w:pPr>
              <w:pStyle w:val="Table"/>
              <w:spacing w:before="0" w:after="120"/>
              <w:jc w:val="center"/>
              <w:rPr/>
            </w:pPr>
            <w:r>
              <w:rPr/>
              <w:t>1.7</w:t>
            </w:r>
          </w:p>
        </w:tc>
        <w:tc>
          <w:tcPr>
            <w:tcW w:w="1037" w:type="dxa"/>
            <w:tcBorders/>
          </w:tcPr>
          <w:p>
            <w:pPr>
              <w:pStyle w:val="Table"/>
              <w:spacing w:before="0" w:after="120"/>
              <w:jc w:val="center"/>
              <w:rPr/>
            </w:pPr>
            <w:r>
              <w:rPr/>
              <w:t>1.4</w:t>
            </w:r>
          </w:p>
        </w:tc>
        <w:tc>
          <w:tcPr>
            <w:tcW w:w="1037" w:type="dxa"/>
            <w:tcBorders/>
          </w:tcPr>
          <w:p>
            <w:pPr>
              <w:pStyle w:val="Table"/>
              <w:spacing w:before="0" w:after="120"/>
              <w:jc w:val="center"/>
              <w:rPr/>
            </w:pPr>
            <w:r>
              <w:rPr/>
              <w:t>3.3</w:t>
            </w:r>
          </w:p>
        </w:tc>
      </w:tr>
    </w:tbl>
    <w:p>
      <w:pPr>
        <w:pStyle w:val="TableCaption"/>
        <w:rPr/>
      </w:pPr>
      <w:r>
        <w:rPr/>
        <w:t>TABLE 3-4</w:t>
        <w:br/>
        <w:t>FFO to total debt</w:t>
      </w:r>
    </w:p>
    <w:tbl>
      <w:tblPr>
        <w:tblW w:w="8705" w:type="dxa"/>
        <w:jc w:val="center"/>
        <w:tblInd w:w="0" w:type="dxa"/>
        <w:tblLayout w:type="fixed"/>
        <w:tblCellMar>
          <w:top w:w="0" w:type="dxa"/>
          <w:start w:w="108" w:type="dxa"/>
          <w:bottom w:w="0" w:type="dxa"/>
          <w:end w:w="108" w:type="dxa"/>
        </w:tblCellMar>
      </w:tblPr>
      <w:tblGrid>
        <w:gridCol w:w="930"/>
        <w:gridCol w:w="2663"/>
        <w:gridCol w:w="1278"/>
        <w:gridCol w:w="1278"/>
        <w:gridCol w:w="1278"/>
        <w:gridCol w:w="1278"/>
      </w:tblGrid>
      <w:tr>
        <w:trPr/>
        <w:tc>
          <w:tcPr>
            <w:tcW w:w="930" w:type="dxa"/>
            <w:tcBorders/>
          </w:tcPr>
          <w:p>
            <w:pPr>
              <w:pStyle w:val="Table-FirstRow"/>
              <w:pBdr>
                <w:bottom w:val="single" w:sz="4" w:space="1" w:color="000000"/>
              </w:pBdr>
              <w:spacing w:before="120" w:after="0"/>
              <w:jc w:val="center"/>
              <w:rPr>
                <w:b/>
                <w:bCs/>
              </w:rPr>
            </w:pPr>
            <w:r>
              <w:rPr>
                <w:b/>
                <w:bCs/>
              </w:rPr>
              <w:t>Line</w:t>
              <w:br/>
              <w:t>No.</w:t>
            </w:r>
          </w:p>
        </w:tc>
        <w:tc>
          <w:tcPr>
            <w:tcW w:w="2663" w:type="dxa"/>
            <w:tcBorders/>
          </w:tcPr>
          <w:p>
            <w:pPr>
              <w:pStyle w:val="Table-FirstRow"/>
              <w:snapToGrid w:val="false"/>
              <w:spacing w:before="120" w:after="0"/>
              <w:jc w:val="center"/>
              <w:rPr>
                <w:b/>
                <w:bCs/>
              </w:rPr>
            </w:pPr>
            <w:r>
              <w:rPr>
                <w:b/>
                <w:bCs/>
              </w:rPr>
            </w:r>
          </w:p>
        </w:tc>
        <w:tc>
          <w:tcPr>
            <w:tcW w:w="1278" w:type="dxa"/>
            <w:tcBorders/>
          </w:tcPr>
          <w:p>
            <w:pPr>
              <w:pStyle w:val="Table-FirstRow"/>
              <w:pBdr>
                <w:bottom w:val="single" w:sz="4" w:space="1" w:color="000000"/>
              </w:pBdr>
              <w:spacing w:before="120" w:after="0"/>
              <w:jc w:val="center"/>
              <w:rPr/>
            </w:pPr>
            <w:r>
              <w:rPr>
                <w:b/>
                <w:u w:val="single"/>
              </w:rPr>
              <w:br/>
            </w:r>
            <w:r>
              <w:rPr>
                <w:b/>
              </w:rPr>
              <w:t>2000</w:t>
            </w:r>
          </w:p>
        </w:tc>
        <w:tc>
          <w:tcPr>
            <w:tcW w:w="1278" w:type="dxa"/>
            <w:tcBorders/>
          </w:tcPr>
          <w:p>
            <w:pPr>
              <w:pStyle w:val="Table-FirstRow"/>
              <w:pBdr>
                <w:bottom w:val="single" w:sz="4" w:space="1" w:color="000000"/>
              </w:pBdr>
              <w:spacing w:before="120" w:after="0"/>
              <w:jc w:val="center"/>
              <w:rPr/>
            </w:pPr>
            <w:r>
              <w:rPr>
                <w:b/>
                <w:u w:val="single"/>
              </w:rPr>
              <w:br/>
            </w:r>
            <w:r>
              <w:rPr>
                <w:b/>
              </w:rPr>
              <w:t>2001</w:t>
            </w:r>
          </w:p>
        </w:tc>
        <w:tc>
          <w:tcPr>
            <w:tcW w:w="1278" w:type="dxa"/>
            <w:tcBorders/>
          </w:tcPr>
          <w:p>
            <w:pPr>
              <w:pStyle w:val="Table-FirstRow"/>
              <w:pBdr>
                <w:bottom w:val="single" w:sz="4" w:space="1" w:color="000000"/>
              </w:pBdr>
              <w:spacing w:before="120" w:after="120"/>
              <w:jc w:val="center"/>
              <w:rPr/>
            </w:pPr>
            <w:r>
              <w:rPr>
                <w:b/>
                <w:u w:val="single"/>
              </w:rPr>
              <w:br/>
            </w:r>
            <w:r>
              <w:rPr>
                <w:b/>
              </w:rPr>
              <w:t>2002</w:t>
            </w:r>
          </w:p>
        </w:tc>
        <w:tc>
          <w:tcPr>
            <w:tcW w:w="1278" w:type="dxa"/>
            <w:tcBorders/>
          </w:tcPr>
          <w:p>
            <w:pPr>
              <w:pStyle w:val="Table-FirstRow"/>
              <w:pBdr>
                <w:bottom w:val="single" w:sz="4" w:space="1" w:color="000000"/>
              </w:pBdr>
              <w:spacing w:before="120" w:after="120"/>
              <w:jc w:val="center"/>
              <w:rPr>
                <w:b/>
              </w:rPr>
            </w:pPr>
            <w:r>
              <w:rPr>
                <w:b/>
              </w:rPr>
              <w:br/>
              <w:t>2003</w:t>
            </w:r>
          </w:p>
        </w:tc>
      </w:tr>
      <w:tr>
        <w:trPr/>
        <w:tc>
          <w:tcPr>
            <w:tcW w:w="930" w:type="dxa"/>
            <w:tcBorders/>
          </w:tcPr>
          <w:p>
            <w:pPr>
              <w:pStyle w:val="Table"/>
              <w:spacing w:before="0" w:after="120"/>
              <w:jc w:val="center"/>
              <w:rPr/>
            </w:pPr>
            <w:r>
              <w:rPr/>
              <w:t>1</w:t>
            </w:r>
          </w:p>
        </w:tc>
        <w:tc>
          <w:tcPr>
            <w:tcW w:w="2663" w:type="dxa"/>
            <w:tcBorders/>
          </w:tcPr>
          <w:p>
            <w:pPr>
              <w:pStyle w:val="Table"/>
              <w:spacing w:before="0" w:after="120"/>
              <w:rPr/>
            </w:pPr>
            <w:r>
              <w:rPr/>
              <w:t>BBB Benchmark</w:t>
            </w:r>
          </w:p>
        </w:tc>
        <w:tc>
          <w:tcPr>
            <w:tcW w:w="1278" w:type="dxa"/>
            <w:tcBorders/>
          </w:tcPr>
          <w:p>
            <w:pPr>
              <w:pStyle w:val="Table"/>
              <w:tabs>
                <w:tab w:val="clear" w:pos="720"/>
                <w:tab w:val="decimal" w:pos="457" w:leader="none"/>
              </w:tabs>
              <w:spacing w:before="0" w:after="120"/>
              <w:rPr/>
            </w:pPr>
            <w:r>
              <w:rPr/>
              <w:t>23.8%</w:t>
            </w:r>
          </w:p>
        </w:tc>
        <w:tc>
          <w:tcPr>
            <w:tcW w:w="1278" w:type="dxa"/>
            <w:tcBorders/>
          </w:tcPr>
          <w:p>
            <w:pPr>
              <w:pStyle w:val="Table"/>
              <w:tabs>
                <w:tab w:val="clear" w:pos="720"/>
                <w:tab w:val="decimal" w:pos="373" w:leader="none"/>
              </w:tabs>
              <w:spacing w:before="0" w:after="120"/>
              <w:rPr/>
            </w:pPr>
            <w:r>
              <w:rPr/>
              <w:t>23.8%</w:t>
            </w:r>
          </w:p>
        </w:tc>
        <w:tc>
          <w:tcPr>
            <w:tcW w:w="1278" w:type="dxa"/>
            <w:tcBorders/>
          </w:tcPr>
          <w:p>
            <w:pPr>
              <w:pStyle w:val="Table"/>
              <w:tabs>
                <w:tab w:val="clear" w:pos="720"/>
                <w:tab w:val="decimal" w:pos="491" w:leader="none"/>
              </w:tabs>
              <w:spacing w:before="0" w:after="120"/>
              <w:rPr/>
            </w:pPr>
            <w:r>
              <w:rPr/>
              <w:t>23.8%</w:t>
            </w:r>
          </w:p>
        </w:tc>
        <w:tc>
          <w:tcPr>
            <w:tcW w:w="1278" w:type="dxa"/>
            <w:tcBorders/>
          </w:tcPr>
          <w:p>
            <w:pPr>
              <w:pStyle w:val="Table"/>
              <w:tabs>
                <w:tab w:val="clear" w:pos="720"/>
                <w:tab w:val="decimal" w:pos="429" w:leader="none"/>
              </w:tabs>
              <w:spacing w:before="0" w:after="120"/>
              <w:rPr/>
            </w:pPr>
            <w:r>
              <w:rPr/>
              <w:t>23.8%</w:t>
            </w:r>
          </w:p>
        </w:tc>
      </w:tr>
      <w:tr>
        <w:trPr/>
        <w:tc>
          <w:tcPr>
            <w:tcW w:w="930" w:type="dxa"/>
            <w:tcBorders/>
          </w:tcPr>
          <w:p>
            <w:pPr>
              <w:pStyle w:val="Table"/>
              <w:spacing w:before="0" w:after="120"/>
              <w:jc w:val="center"/>
              <w:rPr/>
            </w:pPr>
            <w:r>
              <w:rPr/>
              <w:t>2</w:t>
            </w:r>
          </w:p>
        </w:tc>
        <w:tc>
          <w:tcPr>
            <w:tcW w:w="2663" w:type="dxa"/>
            <w:tcBorders/>
          </w:tcPr>
          <w:p>
            <w:pPr>
              <w:pStyle w:val="Table"/>
              <w:spacing w:before="0" w:after="120"/>
              <w:rPr/>
            </w:pPr>
            <w:r>
              <w:rPr/>
              <w:t>BB Benchmark</w:t>
            </w:r>
          </w:p>
        </w:tc>
        <w:tc>
          <w:tcPr>
            <w:tcW w:w="1278" w:type="dxa"/>
            <w:tcBorders/>
          </w:tcPr>
          <w:p>
            <w:pPr>
              <w:pStyle w:val="Table"/>
              <w:tabs>
                <w:tab w:val="clear" w:pos="720"/>
                <w:tab w:val="decimal" w:pos="457" w:leader="none"/>
              </w:tabs>
              <w:spacing w:before="0" w:after="120"/>
              <w:rPr/>
            </w:pPr>
            <w:r>
              <w:rPr/>
              <w:t>17.8%</w:t>
            </w:r>
          </w:p>
        </w:tc>
        <w:tc>
          <w:tcPr>
            <w:tcW w:w="1278" w:type="dxa"/>
            <w:tcBorders/>
          </w:tcPr>
          <w:p>
            <w:pPr>
              <w:pStyle w:val="Table"/>
              <w:tabs>
                <w:tab w:val="clear" w:pos="720"/>
                <w:tab w:val="decimal" w:pos="373" w:leader="none"/>
              </w:tabs>
              <w:spacing w:before="0" w:after="120"/>
              <w:rPr/>
            </w:pPr>
            <w:r>
              <w:rPr/>
              <w:t>17.8%</w:t>
            </w:r>
          </w:p>
        </w:tc>
        <w:tc>
          <w:tcPr>
            <w:tcW w:w="1278" w:type="dxa"/>
            <w:tcBorders/>
          </w:tcPr>
          <w:p>
            <w:pPr>
              <w:pStyle w:val="Table"/>
              <w:tabs>
                <w:tab w:val="clear" w:pos="720"/>
                <w:tab w:val="decimal" w:pos="491" w:leader="none"/>
              </w:tabs>
              <w:spacing w:before="0" w:after="120"/>
              <w:rPr/>
            </w:pPr>
            <w:r>
              <w:rPr/>
              <w:t>17.8%</w:t>
            </w:r>
          </w:p>
        </w:tc>
        <w:tc>
          <w:tcPr>
            <w:tcW w:w="1278" w:type="dxa"/>
            <w:tcBorders/>
          </w:tcPr>
          <w:p>
            <w:pPr>
              <w:pStyle w:val="Table"/>
              <w:tabs>
                <w:tab w:val="clear" w:pos="720"/>
                <w:tab w:val="decimal" w:pos="429" w:leader="none"/>
              </w:tabs>
              <w:spacing w:before="0" w:after="120"/>
              <w:rPr/>
            </w:pPr>
            <w:r>
              <w:rPr/>
              <w:t>17.8%</w:t>
            </w:r>
          </w:p>
        </w:tc>
      </w:tr>
      <w:tr>
        <w:trPr/>
        <w:tc>
          <w:tcPr>
            <w:tcW w:w="930" w:type="dxa"/>
            <w:tcBorders/>
          </w:tcPr>
          <w:p>
            <w:pPr>
              <w:pStyle w:val="Table"/>
              <w:spacing w:before="0" w:after="120"/>
              <w:jc w:val="center"/>
              <w:rPr/>
            </w:pPr>
            <w:r>
              <w:rPr/>
              <w:t>3</w:t>
            </w:r>
          </w:p>
        </w:tc>
        <w:tc>
          <w:tcPr>
            <w:tcW w:w="2663" w:type="dxa"/>
            <w:tcBorders/>
          </w:tcPr>
          <w:p>
            <w:pPr>
              <w:pStyle w:val="Table"/>
              <w:spacing w:before="0" w:after="120"/>
              <w:rPr/>
            </w:pPr>
            <w:r>
              <w:rPr/>
              <w:t>Moderating Price Scenario</w:t>
            </w:r>
          </w:p>
        </w:tc>
        <w:tc>
          <w:tcPr>
            <w:tcW w:w="1278" w:type="dxa"/>
            <w:tcBorders/>
          </w:tcPr>
          <w:p>
            <w:pPr>
              <w:pStyle w:val="Table"/>
              <w:tabs>
                <w:tab w:val="clear" w:pos="720"/>
                <w:tab w:val="decimal" w:pos="457" w:leader="none"/>
              </w:tabs>
              <w:spacing w:before="0" w:after="120"/>
              <w:rPr/>
            </w:pPr>
            <w:r>
              <w:rPr/>
              <w:t>2.8%</w:t>
            </w:r>
          </w:p>
        </w:tc>
        <w:tc>
          <w:tcPr>
            <w:tcW w:w="1278" w:type="dxa"/>
            <w:tcBorders/>
          </w:tcPr>
          <w:p>
            <w:pPr>
              <w:pStyle w:val="Table"/>
              <w:tabs>
                <w:tab w:val="clear" w:pos="720"/>
                <w:tab w:val="decimal" w:pos="373" w:leader="none"/>
              </w:tabs>
              <w:spacing w:before="0" w:after="120"/>
              <w:rPr/>
            </w:pPr>
            <w:r>
              <w:rPr/>
              <w:t>12.1%</w:t>
            </w:r>
          </w:p>
        </w:tc>
        <w:tc>
          <w:tcPr>
            <w:tcW w:w="1278" w:type="dxa"/>
            <w:tcBorders/>
          </w:tcPr>
          <w:p>
            <w:pPr>
              <w:pStyle w:val="Table"/>
              <w:tabs>
                <w:tab w:val="clear" w:pos="720"/>
                <w:tab w:val="decimal" w:pos="491" w:leader="none"/>
              </w:tabs>
              <w:spacing w:before="0" w:after="120"/>
              <w:rPr/>
            </w:pPr>
            <w:r>
              <w:rPr/>
              <w:t>16.1%</w:t>
            </w:r>
          </w:p>
        </w:tc>
        <w:tc>
          <w:tcPr>
            <w:tcW w:w="1278" w:type="dxa"/>
            <w:tcBorders/>
          </w:tcPr>
          <w:p>
            <w:pPr>
              <w:pStyle w:val="Table"/>
              <w:tabs>
                <w:tab w:val="clear" w:pos="720"/>
                <w:tab w:val="decimal" w:pos="429" w:leader="none"/>
              </w:tabs>
              <w:spacing w:before="0" w:after="120"/>
              <w:rPr/>
            </w:pPr>
            <w:r>
              <w:rPr/>
              <w:t>19.7%</w:t>
            </w:r>
          </w:p>
        </w:tc>
      </w:tr>
      <w:tr>
        <w:trPr/>
        <w:tc>
          <w:tcPr>
            <w:tcW w:w="930" w:type="dxa"/>
            <w:tcBorders/>
          </w:tcPr>
          <w:p>
            <w:pPr>
              <w:pStyle w:val="Table"/>
              <w:spacing w:before="0" w:after="120"/>
              <w:jc w:val="center"/>
              <w:rPr/>
            </w:pPr>
            <w:r>
              <w:rPr/>
              <w:t>4</w:t>
            </w:r>
          </w:p>
        </w:tc>
        <w:tc>
          <w:tcPr>
            <w:tcW w:w="2663" w:type="dxa"/>
            <w:tcBorders/>
          </w:tcPr>
          <w:p>
            <w:pPr>
              <w:pStyle w:val="Table"/>
              <w:spacing w:before="0" w:after="120"/>
              <w:rPr/>
            </w:pPr>
            <w:r>
              <w:rPr/>
              <w:t>Sustained Price Scenario</w:t>
            </w:r>
          </w:p>
        </w:tc>
        <w:tc>
          <w:tcPr>
            <w:tcW w:w="1278" w:type="dxa"/>
            <w:tcBorders/>
          </w:tcPr>
          <w:p>
            <w:pPr>
              <w:pStyle w:val="Table"/>
              <w:tabs>
                <w:tab w:val="clear" w:pos="720"/>
                <w:tab w:val="decimal" w:pos="457" w:leader="none"/>
              </w:tabs>
              <w:spacing w:before="0" w:after="120"/>
              <w:rPr/>
            </w:pPr>
            <w:r>
              <w:rPr/>
              <w:t>2.8%</w:t>
            </w:r>
          </w:p>
        </w:tc>
        <w:tc>
          <w:tcPr>
            <w:tcW w:w="1278" w:type="dxa"/>
            <w:tcBorders/>
          </w:tcPr>
          <w:p>
            <w:pPr>
              <w:pStyle w:val="Table"/>
              <w:tabs>
                <w:tab w:val="clear" w:pos="720"/>
                <w:tab w:val="decimal" w:pos="373" w:leader="none"/>
              </w:tabs>
              <w:spacing w:before="0" w:after="120"/>
              <w:rPr/>
            </w:pPr>
            <w:r>
              <w:rPr/>
              <w:t>4.7%</w:t>
            </w:r>
          </w:p>
        </w:tc>
        <w:tc>
          <w:tcPr>
            <w:tcW w:w="1278" w:type="dxa"/>
            <w:tcBorders/>
          </w:tcPr>
          <w:p>
            <w:pPr>
              <w:pStyle w:val="Table"/>
              <w:tabs>
                <w:tab w:val="clear" w:pos="720"/>
                <w:tab w:val="decimal" w:pos="491" w:leader="none"/>
              </w:tabs>
              <w:spacing w:before="0" w:after="120"/>
              <w:rPr/>
            </w:pPr>
            <w:r>
              <w:rPr/>
              <w:t>2.5%</w:t>
            </w:r>
          </w:p>
        </w:tc>
        <w:tc>
          <w:tcPr>
            <w:tcW w:w="1278" w:type="dxa"/>
            <w:tcBorders/>
          </w:tcPr>
          <w:p>
            <w:pPr>
              <w:pStyle w:val="Table"/>
              <w:tabs>
                <w:tab w:val="clear" w:pos="720"/>
                <w:tab w:val="decimal" w:pos="429" w:leader="none"/>
              </w:tabs>
              <w:spacing w:before="0" w:after="120"/>
              <w:rPr/>
            </w:pPr>
            <w:r>
              <w:rPr/>
              <w:t>16.2%</w:t>
            </w:r>
          </w:p>
        </w:tc>
      </w:tr>
    </w:tbl>
    <w:p>
      <w:pPr>
        <w:pStyle w:val="Body0"/>
        <w:suppressLineNumbers/>
        <w:rPr/>
      </w:pPr>
      <w:r>
        <w:rPr/>
      </w:r>
    </w:p>
    <w:p>
      <w:pPr>
        <w:pStyle w:val="Body2"/>
        <w:rPr/>
      </w:pPr>
      <w:r>
        <w:rPr/>
        <w:t>Under the sustained PX price case, FFO interest coverage and FFO to total debt are very weak during 2000</w:t>
        <w:noBreakHyphen/>
        <w:t>2002.  Under these circumstances, PG&amp;E would at best have a low speculative grade (i.e., “junk”) rating.  It is more likely that creditor flight would create an event of default, as described below.</w:t>
      </w:r>
    </w:p>
    <w:p>
      <w:pPr>
        <w:pStyle w:val="Body2"/>
        <w:rPr/>
      </w:pPr>
      <w:r>
        <w:rPr/>
        <w:t>The conclusion reached from this analysis is clear:  absent Commission action on a cost recovery plan that includes higher retail rates and revenues, the Company will have considerable difficulty maintaining even a weak investment grade credit rating.</w:t>
      </w:r>
    </w:p>
    <w:p>
      <w:pPr>
        <w:pStyle w:val="Heading2"/>
        <w:ind w:firstLine="432" w:start="0"/>
        <w:rPr/>
      </w:pPr>
      <w:bookmarkStart w:id="4" w:name="__RefHeading___Toc499524200"/>
      <w:bookmarkEnd w:id="4"/>
      <w:r>
        <w:rPr/>
        <w:t>Rearranging Balancing Accounts Constitutes Doing Nothing</w:t>
      </w:r>
    </w:p>
    <w:p>
      <w:pPr>
        <w:pStyle w:val="Body2"/>
        <w:rPr/>
      </w:pPr>
      <w:r>
        <w:rPr/>
        <w:t>Proposals to net retroactively all power procurement deficits into the Transition Cost Balancing Account (TCBA) have an air of simplicity and reasonableness.  After all, the Company’s cash costs are more closely approximated by the net changes in the two accounts, not the gross change in the TRA.  However, it would do nothing to remedy PG&amp;E’s financial crisis.</w:t>
      </w:r>
    </w:p>
    <w:p>
      <w:pPr>
        <w:pStyle w:val="Body2"/>
        <w:rPr/>
      </w:pPr>
      <w:r>
        <w:rPr/>
        <w:t>Under any reasonable range of power price forecasts, such an approach has only one consequence:  PG&amp;E is forced to raise capital to invest in regulatory assets which will be classified as transition costs ineligible for recovery after 2001, as specified under AB 1890.  Rearranging balancing accounts will not add a dollar of revenue, reduce a dollar of procurement costs, or induce creditor confidence.  It would likely extend the transition period through 2001, simply heightening cost recovery risks.</w:t>
      </w:r>
    </w:p>
    <w:p>
      <w:pPr>
        <w:pStyle w:val="Body2"/>
        <w:rPr/>
      </w:pPr>
      <w:r>
        <w:rPr/>
        <w:t>The sum of uncollected total generation sunk costs and deferred procurement</w:t>
        <w:noBreakHyphen/>
        <w:t>related costs will grow under retroactive netting.  From a balance of less than $4.0 billion in May 2000, the balance (including any market value of retained generation) grows to between approximately $7 and $8 billion in the moderating and sustained PX price scenarios, respectively by December 2001.</w:t>
      </w:r>
    </w:p>
    <w:p>
      <w:pPr>
        <w:pStyle w:val="Body2"/>
        <w:rPr/>
      </w:pPr>
      <w:r>
        <w:rPr/>
        <w:t>If adopted by the Commission, creditors will likely view this as an open</w:t>
        <w:noBreakHyphen/>
        <w:t xml:space="preserve">ended financial liability imposed on PG&amp;E, and refuse to lend.  Once this level outstrips any reasonable estimate of the market value of PG&amp;E’s hydro assets, it would also negatively impact PG&amp;E’s regulatory accounting conditions that currently enable it to defer recognition of high purchased power expenses.  Generally Accepted Accounting Principles (GAAP) allows deferral of these costs only if their future recovery is </w:t>
      </w:r>
      <w:r>
        <w:rPr>
          <w:u w:val="single"/>
        </w:rPr>
        <w:t>probable</w:t>
      </w:r>
      <w:r>
        <w:rPr/>
        <w:t>.  If PG&amp;E were required to cease this accounting practice, the result would be not only an immediate write</w:t>
        <w:noBreakHyphen/>
        <w:t xml:space="preserve">off, but losses in any month that purchased power costs exceeded the energy portion of retail energy rates.  This accounting outcome would clearly have a deleterious impact on creditors’ views of the Company’s prospects.  </w:t>
      </w:r>
    </w:p>
    <w:p>
      <w:pPr>
        <w:pStyle w:val="Heading1"/>
        <w:ind w:firstLine="432" w:start="0"/>
        <w:rPr/>
      </w:pPr>
      <w:bookmarkStart w:id="5" w:name="__RefHeading___Toc499524201"/>
      <w:bookmarkEnd w:id="5"/>
      <w:r>
        <w:rPr/>
        <w:t>Maintaining Creditor Confidence Is Critical</w:t>
      </w:r>
    </w:p>
    <w:p>
      <w:pPr>
        <w:pStyle w:val="Body1"/>
        <w:rPr/>
      </w:pPr>
      <w:r>
        <w:rPr/>
        <w:t>As described in the previous section, there is no reasonable doubt that PG&amp;E has to maintain the confidence of the financial community in order to navigate the California electricity crisis and fulfill its public service obligations.  The Company has raised unprecedented sums of capital during October and November 2000.  Based only on projected cash requirements, these financings provide adequate liquidity to meet expected obligations through the first part of 2001.  Even if prices decline substantially, these financings represent a short reprieve while regulatory and market issues are addressed, not a final resolution in their own right.  In fact, as explained below, one billion dollars of this financing could disappear as a result of a severe credit downgrade, creating an event of default.</w:t>
      </w:r>
    </w:p>
    <w:p>
      <w:pPr>
        <w:pStyle w:val="Body1"/>
        <w:rPr/>
      </w:pPr>
      <w:r>
        <w:rPr/>
        <w:t>In order to understand the role of creditor confidence, it is helpful to cover the different constituencies of the creditor community.</w:t>
      </w:r>
    </w:p>
    <w:p>
      <w:pPr>
        <w:pStyle w:val="Heading2"/>
        <w:ind w:firstLine="432" w:start="0"/>
        <w:rPr/>
      </w:pPr>
      <w:bookmarkStart w:id="6" w:name="__RefHeading___Toc499524202"/>
      <w:bookmarkEnd w:id="6"/>
      <w:r>
        <w:rPr/>
        <w:t>Creditor Constituencies and Interactions</w:t>
      </w:r>
    </w:p>
    <w:p>
      <w:pPr>
        <w:pStyle w:val="Body2"/>
        <w:rPr/>
      </w:pPr>
      <w:r>
        <w:rPr/>
        <w:t xml:space="preserve">The creditor community has three general types of constituencies.  These constituencies include capital market participants, commercial suppliers, and credit rating agencies.  They have similar perspectives.  How they affect each other can be critical during a financial crisis such as faces PG&amp;E.  </w:t>
      </w:r>
    </w:p>
    <w:p>
      <w:pPr>
        <w:pStyle w:val="Body2"/>
        <w:rPr/>
      </w:pPr>
      <w:r>
        <w:rPr/>
        <w:t>All credit constituencies lend capital or extend commercial credit on the expectation of no or limited decrease in credit quality and the continued provision of credit by all of the other credit parties that a company relies on.  No class of creditor wants to be the last one to extend credit and be left “holding the bag.”</w:t>
      </w:r>
    </w:p>
    <w:p>
      <w:pPr>
        <w:pStyle w:val="Body2"/>
        <w:rPr/>
      </w:pPr>
      <w:r>
        <w:rPr/>
        <w:t xml:space="preserve">Capital market participants include money market investors, who buy commercial paper notes, commercial banks, and bond investors.  </w:t>
      </w:r>
    </w:p>
    <w:p>
      <w:pPr>
        <w:pStyle w:val="Body2"/>
        <w:rPr/>
      </w:pPr>
      <w:r>
        <w:rPr/>
        <w:t>Most money market participants can only invest in the commercial paper of companies with A</w:t>
        <w:noBreakHyphen/>
        <w:t>1/P</w:t>
        <w:noBreakHyphen/>
        <w:t>1 rated short</w:t>
        <w:noBreakHyphen/>
        <w:t xml:space="preserve">term debt.  Because most commercial paper holders can only lend to borrowers with the highest ratings, they are reluctant to or will outright refuse to buy any commercial paper where they perceive a risk of downgrade since they may lose money by having to liquidate any lending position in order to comply with their own investment guidelines.  </w:t>
      </w:r>
    </w:p>
    <w:p>
      <w:pPr>
        <w:pStyle w:val="Body2"/>
        <w:rPr/>
      </w:pPr>
      <w:r>
        <w:rPr/>
        <w:t xml:space="preserve">Because of the risk, albeit small, that a company could be shut out of the commercial paper market as a result of an adverse credit event, almost all borrowers maintain committed revolving credit lines with commercial banks.  In the event that a company cannot sell commercial paper notes, it can borrow from its banks.  However, as was recently illustrated in the case of Xerox, banks take a very negative view if a borrower is no longer able to access the commercial paper market: it frequently indicates that the borrower has been or shortly will be cut off by other capital markets participants and commercial creditor constituencies which it relies on to operate its business.  </w:t>
      </w:r>
    </w:p>
    <w:p>
      <w:pPr>
        <w:pStyle w:val="Body2"/>
        <w:rPr/>
      </w:pPr>
      <w:r>
        <w:rPr/>
        <w:t>Banks lend to borrowers within a relatively fixed band of credit risk.  Beyond this range, if credit risk increases, they do not raise interest rates to compensate for additional risk, they simply refuse to lend.  Moreover, if commercial banks are lending to a company with weak credit or the potential for its credit quality to weaken, they will require covenants, which enable them to void their commitment to lend under defined circumstances.  In PG&amp;E’s case, its most recent bank revolving credit agreement provides that a downgrade of PG&amp;E’s long</w:t>
        <w:noBreakHyphen/>
        <w:t>term credit ratings below investment grade constitutes an immediate event of default.  This would preclude borrowing under the agreement, preclude borrowing in the commercial paper market by representing that a committed bank line was available as back</w:t>
        <w:noBreakHyphen/>
        <w:t>up, and provide accelerated payment rights to the banks for any outstanding borrowings.</w:t>
      </w:r>
    </w:p>
    <w:p>
      <w:pPr>
        <w:pStyle w:val="Body2"/>
        <w:rPr/>
      </w:pPr>
      <w:r>
        <w:rPr/>
        <w:t>Bond market investors buy PG&amp;E’s long</w:t>
        <w:noBreakHyphen/>
        <w:t>term debt instruments, including mortgage bonds, unsecured medium</w:t>
        <w:noBreakHyphen/>
        <w:t>term notes, pollution control facilities bonds issued through the California Pollution Control Financing Authority.  PG&amp;E has traditionally relied upon the bond market for the majority of its debt capital.  Bond investors rely principally on long</w:t>
        <w:noBreakHyphen/>
        <w:t>term credit ratings for their investment and pricing decisions.  The bond market is generally segmented into groups of investors who are restricted to holding investment grade (“BBB” or stronger) credit ratings, and those who have an investment policy of holding speculative grade (popularly termed “junk”) bonds.  As is the case with the commercial paper market, bondholders are reluctant to buy the securities of a firm with deteriorating credit, particularly if a downgrade below investment grade would require them to liquidate their investments at a loss.</w:t>
      </w:r>
    </w:p>
    <w:p>
      <w:pPr>
        <w:pStyle w:val="Body2"/>
        <w:rPr/>
      </w:pPr>
      <w:r>
        <w:rPr/>
        <w:t xml:space="preserve">Many companies do raise large sums of debt capital in the speculative grade market.  However, an issuer can expect to pay substantially higher interest costs and is much more vulnerable to overall bond market conditions, which can affect investor interests.  </w:t>
      </w:r>
    </w:p>
    <w:p>
      <w:pPr>
        <w:pStyle w:val="Body2"/>
        <w:rPr/>
      </w:pPr>
      <w:r>
        <w:rPr/>
        <w:t>The second major creditor constituency is the “non</w:t>
        <w:noBreakHyphen/>
        <w:t>financial” or “trade” credit that enterprises extend on normal payment terms.  A company relies on the continued extension of trade credit by vendors of materials and services as well as energy market participants such as the PX or power producers.  If PG&amp;E’s credit were downgraded or such counter</w:t>
        <w:noBreakHyphen/>
        <w:t>parties were concerned about credit deterioration, they would demand cash collateral, surety bonds, or bank letters of credit to be posted to protect their credit exposure.  Such demands might be viewed by the banks as evidence that such credit deterioration was more likely or had already happened.  Such demands would increase PG&amp;E’s cost of business, would exacerbate its cash flow problems by shortening the time granted it to pay its bills, and could affect critical operations.</w:t>
      </w:r>
    </w:p>
    <w:p>
      <w:pPr>
        <w:pStyle w:val="Body2"/>
        <w:rPr/>
      </w:pPr>
      <w:r>
        <w:rPr/>
        <w:t>The final creditor constituency is the credit rating agencies:  Standard and Poor’s, Moody’s and Fitch/ICBA.  Companies pay the rating agencies to conduct a credit analysis based on both publicly available and non</w:t>
        <w:noBreakHyphen/>
        <w:t>public information, and then to publish ratings of their debt securities.  Rating agencies become “quasi</w:t>
        <w:noBreakHyphen/>
        <w:t>insiders,” with a greater depth of understanding of a company’s financial prospects than most lenders can efficiently develop.  Commercial banks also have the potential to develop a high degree of familiarity with a company’s financial prospects.  However, as evidenced by the default clause in PG&amp;E’s most recent credit agreement, even commercial banks rely heavily on credit rating agency views.</w:t>
      </w:r>
    </w:p>
    <w:p>
      <w:pPr>
        <w:pStyle w:val="Body2"/>
        <w:rPr/>
      </w:pPr>
      <w:r>
        <w:rPr/>
        <w:t>As can be seen from this review of creditors, each constituency will observe the actions of the other constituencies in order to decide whether to extend credit or not.  All lenders and trade creditors place significant weight on credit rating agency ratings.  Commercial paper holders look to committed bank lines for reassurance that there is another lender of last resort.  Commercial banks look at the continued willingness of the money market investors to buy commercial paper to be an indication that the banks won’t have to be the lender of last resort.  Bondholders are making a long</w:t>
        <w:noBreakHyphen/>
        <w:t>term credit commitment, with no ability to renegotiate lending terms, so they do not want to be the last source of liquidity.  Each constituency, in effect, looks to the participation of other constituencies both for reassurance that the company is a reasonable lending prospect and to ensure that if a default occurs, their lending exposure is shared with other constituencies.</w:t>
      </w:r>
    </w:p>
    <w:p>
      <w:pPr>
        <w:pStyle w:val="Heading2"/>
        <w:ind w:firstLine="432" w:start="0"/>
        <w:rPr/>
      </w:pPr>
      <w:bookmarkStart w:id="7" w:name="__RefHeading___Toc499524203"/>
      <w:bookmarkEnd w:id="7"/>
      <w:r>
        <w:rPr/>
        <w:t>Credit Rating Agency and Creditor Views of the Current Crisis</w:t>
      </w:r>
    </w:p>
    <w:p>
      <w:pPr>
        <w:pStyle w:val="Body2"/>
        <w:rPr/>
      </w:pPr>
      <w:r>
        <w:rPr/>
        <w:t>Creditor constituencies described above have provided some straightforward feedback to PG&amp;E about the current California energy crisis and their willingness to extend credit.  The credit rating agencies have published or publicly stated their views.  For example, in an October 12th conference call with bondholders, S&amp;P stated:</w:t>
      </w:r>
    </w:p>
    <w:p>
      <w:pPr>
        <w:pStyle w:val="Quotation2"/>
        <w:rPr/>
      </w:pPr>
      <w:r>
        <w:rPr/>
        <w:t>In the current situation, to hold the [credit] ratings, we would like to see a settlement well in advance of next summer’s inevitable challenges.  But this means a clear plan be established for amortizing not only the deferrals already recorded in the utilities’ respective balancing accounts, but also establishing a means for continuing to recover the costs moving forward.</w:t>
      </w:r>
    </w:p>
    <w:p>
      <w:pPr>
        <w:pStyle w:val="Quotation2"/>
        <w:rPr/>
      </w:pPr>
      <w:r>
        <w:rPr/>
        <w:t>If we suspect that there is not really going to be any sort or resolution in California or elsewhere that is going to support deferral over a reasonable period of time, we would begin to either change outlooks or actually take rating action if in our opinion there’s going to be a significant write</w:t>
        <w:noBreakHyphen/>
        <w:t>off and that’s going to hurt the company’s financial flexibility going forward.</w:t>
      </w:r>
    </w:p>
    <w:p>
      <w:pPr>
        <w:pStyle w:val="Body2"/>
        <w:rPr/>
      </w:pPr>
      <w:r>
        <w:rPr/>
        <w:t>All credit constituencies recently approached by PG&amp;E have expressed concern that there will not be the timely and adequate regulatory responses necessary to ensure continued credit strength and cash flow to repay PG&amp;E’s debt.  Those parties that have extended credit have done so on the assumption articulated by Standard and Poor's in Chapter 5 that a “non</w:t>
        <w:noBreakHyphen/>
        <w:t xml:space="preserve">punitive solution will be reached.”  </w:t>
      </w:r>
    </w:p>
    <w:p>
      <w:pPr>
        <w:pStyle w:val="Body2"/>
        <w:rPr/>
      </w:pPr>
      <w:r>
        <w:rPr/>
        <w:t>Other parties which have declined to extend credit admit that it is logically inconceivable that the various authorities would not intervene to preserve the financial health of California utilities given the widespread economic and other damage what would be visited on the state.  These lenders have, nonetheless, stated that they will not lend in the absence of a clear regulatory/legal basis for the utilities to recover their current and projected deferred energy costs.  Some of these lenders which have expressed reluctance to lend have specifically cited the recent FERC refusal to order rebates as exposing PG&amp;E to the refusal of California authorities to permit recovery of the current deferred energy financing balances as well as the prospect of having to finance next summers’ repeated high wholesale energy costs with the same continued regulatory uncertainty of recovery.</w:t>
      </w:r>
    </w:p>
    <w:p>
      <w:pPr>
        <w:pStyle w:val="Body2"/>
        <w:rPr/>
      </w:pPr>
      <w:r>
        <w:rPr/>
        <w:t>Delay will continue to enlarge the cloud of uncertainty hanging over PG&amp;E.  The Company has already become much more vulnerable to adverse financial consequences of even seemingly unrelated or minor events.  Delay will only increase this vulnerability with every passing week.  Once this level of uncertainty reaches some difficult</w:t>
        <w:noBreakHyphen/>
        <w:t>to</w:t>
        <w:noBreakHyphen/>
        <w:t>predict level, creditor confidence in the Company will fail, triggering a liquidity crisis.  Events which could trigger a crisis in confidence include:</w:t>
      </w:r>
    </w:p>
    <w:p>
      <w:pPr>
        <w:pStyle w:val="Bullet2"/>
        <w:numPr>
          <w:ilvl w:val="0"/>
          <w:numId w:val="3"/>
        </w:numPr>
        <w:rPr/>
      </w:pPr>
      <w:r>
        <w:rPr/>
        <w:t>The credit rating agencies conclude that adequate regulatory relief will not be provided or in an adequately short timeframe;</w:t>
      </w:r>
    </w:p>
    <w:p>
      <w:pPr>
        <w:pStyle w:val="Bullet2"/>
        <w:numPr>
          <w:ilvl w:val="0"/>
          <w:numId w:val="3"/>
        </w:numPr>
        <w:rPr/>
      </w:pPr>
      <w:r>
        <w:rPr/>
        <w:t>Some key creditor constituency refuses to grant additional needed credit, triggering a defensive refusal by all creditors to extend further financing;</w:t>
      </w:r>
    </w:p>
    <w:p>
      <w:pPr>
        <w:pStyle w:val="Bullet2"/>
        <w:numPr>
          <w:ilvl w:val="0"/>
          <w:numId w:val="3"/>
        </w:numPr>
        <w:rPr/>
      </w:pPr>
      <w:r>
        <w:rPr/>
        <w:t>An external financial market event (such as last occurred in August 1998 as a result of the Russian financial crisis) creates a “flight to quality” by lenders.  Borrowers with lower credit ratings or a “complicating story” attached to their situation found it extremely difficult or impossible to raise capital during the Russian financial crisis;</w:t>
      </w:r>
    </w:p>
    <w:p>
      <w:pPr>
        <w:pStyle w:val="Bullet2"/>
        <w:numPr>
          <w:ilvl w:val="0"/>
          <w:numId w:val="3"/>
        </w:numPr>
        <w:rPr/>
      </w:pPr>
      <w:r>
        <w:rPr/>
        <w:t xml:space="preserve">A negative press story about California energy markets or regulation causes commercial paper lenders to refuse to lend for fear of a credit downgrade.  Such refusal to lend could cause a domino effect on other creditors who take a range of protective measures.  This triggers an otherwise avoidable liquidity crisis for the Company; and </w:t>
      </w:r>
    </w:p>
    <w:p>
      <w:pPr>
        <w:pStyle w:val="Bullet2"/>
        <w:numPr>
          <w:ilvl w:val="0"/>
          <w:numId w:val="3"/>
        </w:numPr>
        <w:rPr/>
      </w:pPr>
      <w:r>
        <w:rPr/>
        <w:t>A regulatory decision—perhaps even one wholly unrelated to the California power market crisis—is interpreted as an indicator of the Company’s regulatory climate and prospects for cost recovery.</w:t>
      </w:r>
    </w:p>
    <w:p>
      <w:pPr>
        <w:pStyle w:val="Body2"/>
        <w:rPr/>
      </w:pPr>
      <w:r>
        <w:rPr/>
        <w:t>Once creditor loss of confidence has occurred it is much more difficult to restore than maintain.  Under these circumstances, the potential for a collective stampede is quite real, and very difficult, if not impossible, to manage.  Both the Company and the Commission will have fewer degrees of freedom to make sound commercial and public policy choices.</w:t>
      </w:r>
    </w:p>
    <w:p>
      <w:pPr>
        <w:pStyle w:val="Heading1"/>
        <w:ind w:firstLine="432" w:start="0"/>
        <w:rPr/>
      </w:pPr>
      <w:bookmarkStart w:id="8" w:name="__RefHeading___Toc499524204"/>
      <w:bookmarkEnd w:id="8"/>
      <w:r>
        <w:rPr/>
        <w:t>The RSP Strengthens PG&amp;E’s Financial Profile</w:t>
      </w:r>
    </w:p>
    <w:p>
      <w:pPr>
        <w:pStyle w:val="Body1"/>
        <w:rPr/>
      </w:pPr>
      <w:r>
        <w:rPr/>
        <w:t>PG&amp;E’s rate increase and RSP proposed in this application accomplish three objectives that will help restore PG&amp;E’s financial profile in order for it to continue to meet its public service obligations:</w:t>
      </w:r>
    </w:p>
    <w:p>
      <w:pPr>
        <w:pStyle w:val="Bullet1"/>
        <w:numPr>
          <w:ilvl w:val="0"/>
          <w:numId w:val="3"/>
        </w:numPr>
        <w:rPr/>
      </w:pPr>
      <w:r>
        <w:rPr/>
        <w:t>Reduce external financing requirements;</w:t>
      </w:r>
    </w:p>
    <w:p>
      <w:pPr>
        <w:pStyle w:val="Bullet1"/>
        <w:numPr>
          <w:ilvl w:val="0"/>
          <w:numId w:val="3"/>
        </w:numPr>
        <w:rPr/>
      </w:pPr>
      <w:r>
        <w:rPr/>
        <w:t>Enhance benchmark credit ratios used by creditors to assess financial health; and</w:t>
      </w:r>
    </w:p>
    <w:p>
      <w:pPr>
        <w:pStyle w:val="Bullet1"/>
        <w:numPr>
          <w:ilvl w:val="0"/>
          <w:numId w:val="3"/>
        </w:numPr>
        <w:rPr/>
      </w:pPr>
      <w:r>
        <w:rPr/>
        <w:t>Provide cost recovery mechanisms which adjust revenues in the event that power prices are substantially higher than anticipated.</w:t>
      </w:r>
    </w:p>
    <w:p>
      <w:pPr>
        <w:pStyle w:val="Body1"/>
        <w:rPr/>
      </w:pPr>
      <w:r>
        <w:rPr/>
        <w:t>As a package, the RSP will enhance creditor confidence in the Company’s financial viability.</w:t>
      </w:r>
    </w:p>
    <w:p>
      <w:pPr>
        <w:pStyle w:val="Body1"/>
        <w:rPr/>
      </w:pPr>
      <w:r>
        <w:rPr/>
        <w:t xml:space="preserve">The following sections describe the expected impact of the RSP under the moderating and sustained energy price scenarios covered earlier, describe the rationale behind the design of a energy revenue “safety valve” in the event of very high wholesale prices, and conclude with the overall expected impact of the RSP on creditor confidence.  </w:t>
      </w:r>
    </w:p>
    <w:p>
      <w:pPr>
        <w:pStyle w:val="Heading2"/>
        <w:ind w:firstLine="432" w:start="0"/>
        <w:rPr/>
      </w:pPr>
      <w:bookmarkStart w:id="9" w:name="__RefHeading___Toc499524205"/>
      <w:bookmarkEnd w:id="9"/>
      <w:r>
        <w:rPr/>
        <w:t>The RSP Reduces External Financing Requirements</w:t>
      </w:r>
    </w:p>
    <w:p>
      <w:pPr>
        <w:pStyle w:val="Body2"/>
        <w:rPr/>
      </w:pPr>
      <w:r>
        <w:rPr/>
        <w:t>By increasing PG&amp;E’s retail rates and cash revenues, the RSP will substantially reduce the disparity between the Company’s revenues and costs.  This will most directly affect the level of financing requirements and dependence on credit markets.  By reducing dependence on credit markets, the RSP will enhance the likelihood that creditors will continue to lend to PG&amp;E.</w:t>
      </w:r>
    </w:p>
    <w:p>
      <w:pPr>
        <w:pStyle w:val="Body2"/>
        <w:rPr/>
      </w:pPr>
      <w:r>
        <w:rPr/>
        <w:t>PG&amp;E’s proposed rate increase and RSP are expected to reduce cumulative debt financing requirements for the period 2001-2003 by $2.1 billion to $3.5 billion in the moderating and sustained energy price scenarios, respectively.  Although the absolute level of external financing requirements remains significant, the RSP reduces the “new capital” financing (i.e., excluding refinancing requirements) to manageable levels, and enables PG&amp;E to pay down debt as energy market prices moderate.  That profile, in turn, will make creditors more willing to refinance existing debt obligations.</w:t>
      </w:r>
    </w:p>
    <w:p>
      <w:pPr>
        <w:pStyle w:val="Heading2"/>
        <w:ind w:firstLine="432" w:start="0"/>
        <w:rPr/>
      </w:pPr>
      <w:bookmarkStart w:id="10" w:name="__RefHeading___Toc499524206"/>
      <w:r>
        <w:rPr/>
        <w:t>The RSP Enhances Benchmark Credit Ratios</w:t>
      </w:r>
      <w:bookmarkEnd w:id="10"/>
      <w:r>
        <w:rPr/>
        <w:t xml:space="preserve"> </w:t>
      </w:r>
    </w:p>
    <w:p>
      <w:pPr>
        <w:pStyle w:val="Body2"/>
        <w:rPr/>
      </w:pPr>
      <w:r>
        <w:rPr/>
        <w:t>The RSP also makes a significant, immediate step towards strengthening PG&amp;E’s financial health by providing cash flow that strengthens key credit ratios.  Figure 5, below shows funds from operations (“FFO”) interest coverage with the RSP and the two energy price scenarios.  Interest coverage immediately increases in both scenarios.  In the moderating price scenario, FFO interest coverage moves to a level commensurate with a solid “A” rating by 2002, and rises higher thereafter as undercollected energy cost balances are recovered.  In the sustained energy price scenario, FFO coverage rises to a level commensurate with a weak “A” credit rating by 2002, and continues to strengthen.  FFO coverage is a volatile measure, which is highly sensitive to the rate of undercollection or amortization of past undercollections.  Thus, it will appear unsustainably strong when the Company is recovering deferred power costs.</w:t>
      </w:r>
    </w:p>
    <w:p>
      <w:pPr>
        <w:pStyle w:val="TableCaption"/>
        <w:rPr/>
      </w:pPr>
      <w:r>
        <w:rPr/>
        <w:t>TABLE 5</w:t>
        <w:br/>
        <w:t>FFO to interest coverage</w:t>
      </w:r>
    </w:p>
    <w:tbl>
      <w:tblPr>
        <w:tblW w:w="5629" w:type="dxa"/>
        <w:jc w:val="center"/>
        <w:tblInd w:w="0" w:type="dxa"/>
        <w:tblLayout w:type="fixed"/>
        <w:tblCellMar>
          <w:top w:w="0" w:type="dxa"/>
          <w:start w:w="108" w:type="dxa"/>
          <w:bottom w:w="0" w:type="dxa"/>
          <w:end w:w="108" w:type="dxa"/>
        </w:tblCellMar>
      </w:tblPr>
      <w:tblGrid>
        <w:gridCol w:w="628"/>
        <w:gridCol w:w="2583"/>
        <w:gridCol w:w="806"/>
        <w:gridCol w:w="806"/>
        <w:gridCol w:w="806"/>
      </w:tblGrid>
      <w:tr>
        <w:trPr/>
        <w:tc>
          <w:tcPr>
            <w:tcW w:w="628" w:type="dxa"/>
            <w:tcBorders/>
          </w:tcPr>
          <w:p>
            <w:pPr>
              <w:pStyle w:val="Table-FirstRow"/>
              <w:pBdr>
                <w:bottom w:val="single" w:sz="4" w:space="1" w:color="000000"/>
              </w:pBdr>
              <w:spacing w:before="120" w:after="0"/>
              <w:jc w:val="center"/>
              <w:rPr>
                <w:b/>
                <w:bCs/>
              </w:rPr>
            </w:pPr>
            <w:r>
              <w:rPr>
                <w:b/>
                <w:bCs/>
              </w:rPr>
              <w:t>Line</w:t>
              <w:br/>
              <w:t>No.</w:t>
            </w:r>
          </w:p>
        </w:tc>
        <w:tc>
          <w:tcPr>
            <w:tcW w:w="2583" w:type="dxa"/>
            <w:tcBorders/>
          </w:tcPr>
          <w:p>
            <w:pPr>
              <w:pStyle w:val="Table-FirstRow"/>
              <w:snapToGrid w:val="false"/>
              <w:spacing w:before="120" w:after="0"/>
              <w:jc w:val="center"/>
              <w:rPr>
                <w:b/>
                <w:bCs/>
              </w:rPr>
            </w:pPr>
            <w:r>
              <w:rPr>
                <w:b/>
                <w:bCs/>
              </w:rPr>
            </w:r>
          </w:p>
        </w:tc>
        <w:tc>
          <w:tcPr>
            <w:tcW w:w="806" w:type="dxa"/>
            <w:tcBorders/>
          </w:tcPr>
          <w:p>
            <w:pPr>
              <w:pStyle w:val="Table-FirstRow"/>
              <w:pBdr>
                <w:bottom w:val="single" w:sz="4" w:space="1" w:color="000000"/>
              </w:pBdr>
              <w:spacing w:before="120" w:after="0"/>
              <w:jc w:val="center"/>
              <w:rPr/>
            </w:pPr>
            <w:r>
              <w:rPr>
                <w:b/>
                <w:u w:val="single"/>
              </w:rPr>
              <w:br/>
            </w:r>
            <w:r>
              <w:rPr>
                <w:b/>
              </w:rPr>
              <w:t>2001</w:t>
            </w:r>
          </w:p>
        </w:tc>
        <w:tc>
          <w:tcPr>
            <w:tcW w:w="806" w:type="dxa"/>
            <w:tcBorders/>
          </w:tcPr>
          <w:p>
            <w:pPr>
              <w:pStyle w:val="Table-FirstRow"/>
              <w:pBdr>
                <w:bottom w:val="single" w:sz="4" w:space="1" w:color="000000"/>
              </w:pBdr>
              <w:spacing w:before="120" w:after="0"/>
              <w:jc w:val="center"/>
              <w:rPr/>
            </w:pPr>
            <w:r>
              <w:rPr>
                <w:b/>
                <w:u w:val="single"/>
              </w:rPr>
              <w:br/>
            </w:r>
            <w:r>
              <w:rPr>
                <w:b/>
              </w:rPr>
              <w:t>2002</w:t>
            </w:r>
          </w:p>
        </w:tc>
        <w:tc>
          <w:tcPr>
            <w:tcW w:w="806" w:type="dxa"/>
            <w:tcBorders/>
          </w:tcPr>
          <w:p>
            <w:pPr>
              <w:pStyle w:val="Table-FirstRow"/>
              <w:pBdr>
                <w:bottom w:val="single" w:sz="4" w:space="1" w:color="000000"/>
              </w:pBdr>
              <w:spacing w:before="120" w:after="120"/>
              <w:jc w:val="center"/>
              <w:rPr/>
            </w:pPr>
            <w:r>
              <w:rPr>
                <w:b/>
                <w:u w:val="single"/>
              </w:rPr>
              <w:br/>
            </w:r>
            <w:r>
              <w:rPr>
                <w:b/>
              </w:rPr>
              <w:t>2003</w:t>
            </w:r>
          </w:p>
        </w:tc>
      </w:tr>
      <w:tr>
        <w:trPr/>
        <w:tc>
          <w:tcPr>
            <w:tcW w:w="628" w:type="dxa"/>
            <w:tcBorders/>
          </w:tcPr>
          <w:p>
            <w:pPr>
              <w:pStyle w:val="Table"/>
              <w:spacing w:before="0" w:after="120"/>
              <w:jc w:val="center"/>
              <w:rPr/>
            </w:pPr>
            <w:r>
              <w:rPr/>
              <w:t>1</w:t>
            </w:r>
          </w:p>
        </w:tc>
        <w:tc>
          <w:tcPr>
            <w:tcW w:w="2583" w:type="dxa"/>
            <w:tcBorders/>
          </w:tcPr>
          <w:p>
            <w:pPr>
              <w:pStyle w:val="Table"/>
              <w:spacing w:before="0" w:after="120"/>
              <w:rPr/>
            </w:pPr>
            <w:r>
              <w:rPr/>
              <w:t>BBB Benchmark</w:t>
            </w:r>
          </w:p>
        </w:tc>
        <w:tc>
          <w:tcPr>
            <w:tcW w:w="806" w:type="dxa"/>
            <w:tcBorders/>
          </w:tcPr>
          <w:p>
            <w:pPr>
              <w:pStyle w:val="Table"/>
              <w:tabs>
                <w:tab w:val="clear" w:pos="720"/>
                <w:tab w:val="decimal" w:pos="216" w:leader="none"/>
              </w:tabs>
              <w:spacing w:before="0" w:after="120"/>
              <w:jc w:val="both"/>
              <w:rPr/>
            </w:pPr>
            <w:r>
              <w:rPr/>
              <w:t>3.5</w:t>
            </w:r>
          </w:p>
        </w:tc>
        <w:tc>
          <w:tcPr>
            <w:tcW w:w="806" w:type="dxa"/>
            <w:tcBorders/>
          </w:tcPr>
          <w:p>
            <w:pPr>
              <w:pStyle w:val="Table"/>
              <w:tabs>
                <w:tab w:val="clear" w:pos="720"/>
                <w:tab w:val="decimal" w:pos="220" w:leader="none"/>
              </w:tabs>
              <w:spacing w:before="0" w:after="120"/>
              <w:rPr/>
            </w:pPr>
            <w:r>
              <w:rPr/>
              <w:t>3.5</w:t>
            </w:r>
          </w:p>
        </w:tc>
        <w:tc>
          <w:tcPr>
            <w:tcW w:w="806" w:type="dxa"/>
            <w:tcBorders/>
          </w:tcPr>
          <w:p>
            <w:pPr>
              <w:pStyle w:val="Table"/>
              <w:tabs>
                <w:tab w:val="clear" w:pos="720"/>
                <w:tab w:val="decimal" w:pos="224" w:leader="none"/>
              </w:tabs>
              <w:spacing w:before="0" w:after="120"/>
              <w:rPr/>
            </w:pPr>
            <w:r>
              <w:rPr/>
              <w:t>3.5</w:t>
            </w:r>
          </w:p>
        </w:tc>
      </w:tr>
      <w:tr>
        <w:trPr/>
        <w:tc>
          <w:tcPr>
            <w:tcW w:w="628" w:type="dxa"/>
            <w:tcBorders/>
          </w:tcPr>
          <w:p>
            <w:pPr>
              <w:pStyle w:val="Table"/>
              <w:spacing w:before="0" w:after="120"/>
              <w:jc w:val="center"/>
              <w:rPr/>
            </w:pPr>
            <w:r>
              <w:rPr/>
              <w:t>2</w:t>
            </w:r>
          </w:p>
        </w:tc>
        <w:tc>
          <w:tcPr>
            <w:tcW w:w="2583" w:type="dxa"/>
            <w:tcBorders/>
          </w:tcPr>
          <w:p>
            <w:pPr>
              <w:pStyle w:val="Table"/>
              <w:spacing w:before="0" w:after="120"/>
              <w:rPr/>
            </w:pPr>
            <w:r>
              <w:rPr/>
              <w:t>BB Benchmark</w:t>
            </w:r>
          </w:p>
        </w:tc>
        <w:tc>
          <w:tcPr>
            <w:tcW w:w="806" w:type="dxa"/>
            <w:tcBorders/>
          </w:tcPr>
          <w:p>
            <w:pPr>
              <w:pStyle w:val="Table"/>
              <w:tabs>
                <w:tab w:val="clear" w:pos="720"/>
                <w:tab w:val="decimal" w:pos="216" w:leader="none"/>
              </w:tabs>
              <w:spacing w:before="0" w:after="120"/>
              <w:jc w:val="both"/>
              <w:rPr/>
            </w:pPr>
            <w:r>
              <w:rPr/>
              <w:t>2.5</w:t>
            </w:r>
          </w:p>
        </w:tc>
        <w:tc>
          <w:tcPr>
            <w:tcW w:w="806" w:type="dxa"/>
            <w:tcBorders/>
          </w:tcPr>
          <w:p>
            <w:pPr>
              <w:pStyle w:val="Table"/>
              <w:tabs>
                <w:tab w:val="clear" w:pos="720"/>
                <w:tab w:val="decimal" w:pos="220" w:leader="none"/>
              </w:tabs>
              <w:spacing w:before="0" w:after="120"/>
              <w:rPr/>
            </w:pPr>
            <w:r>
              <w:rPr/>
              <w:t>2.5</w:t>
            </w:r>
          </w:p>
        </w:tc>
        <w:tc>
          <w:tcPr>
            <w:tcW w:w="806" w:type="dxa"/>
            <w:tcBorders/>
          </w:tcPr>
          <w:p>
            <w:pPr>
              <w:pStyle w:val="Table"/>
              <w:tabs>
                <w:tab w:val="clear" w:pos="720"/>
                <w:tab w:val="decimal" w:pos="224" w:leader="none"/>
              </w:tabs>
              <w:spacing w:before="0" w:after="120"/>
              <w:rPr/>
            </w:pPr>
            <w:r>
              <w:rPr/>
              <w:t>2.5</w:t>
            </w:r>
          </w:p>
        </w:tc>
      </w:tr>
      <w:tr>
        <w:trPr/>
        <w:tc>
          <w:tcPr>
            <w:tcW w:w="628" w:type="dxa"/>
            <w:tcBorders/>
          </w:tcPr>
          <w:p>
            <w:pPr>
              <w:pStyle w:val="Table"/>
              <w:spacing w:before="0" w:after="120"/>
              <w:jc w:val="center"/>
              <w:rPr/>
            </w:pPr>
            <w:r>
              <w:rPr/>
              <w:t>3</w:t>
            </w:r>
          </w:p>
        </w:tc>
        <w:tc>
          <w:tcPr>
            <w:tcW w:w="2583" w:type="dxa"/>
            <w:tcBorders/>
          </w:tcPr>
          <w:p>
            <w:pPr>
              <w:pStyle w:val="Table"/>
              <w:spacing w:before="0" w:after="120"/>
              <w:rPr/>
            </w:pPr>
            <w:r>
              <w:rPr/>
              <w:t>Moderating Price Scenario</w:t>
            </w:r>
          </w:p>
        </w:tc>
        <w:tc>
          <w:tcPr>
            <w:tcW w:w="806" w:type="dxa"/>
            <w:tcBorders/>
          </w:tcPr>
          <w:p>
            <w:pPr>
              <w:pStyle w:val="Table"/>
              <w:tabs>
                <w:tab w:val="clear" w:pos="720"/>
                <w:tab w:val="decimal" w:pos="216" w:leader="none"/>
              </w:tabs>
              <w:spacing w:before="0" w:after="120"/>
              <w:jc w:val="both"/>
              <w:rPr/>
            </w:pPr>
            <w:r>
              <w:rPr/>
              <w:t>3.94</w:t>
            </w:r>
          </w:p>
        </w:tc>
        <w:tc>
          <w:tcPr>
            <w:tcW w:w="806" w:type="dxa"/>
            <w:tcBorders/>
          </w:tcPr>
          <w:p>
            <w:pPr>
              <w:pStyle w:val="Table"/>
              <w:tabs>
                <w:tab w:val="clear" w:pos="720"/>
                <w:tab w:val="decimal" w:pos="220" w:leader="none"/>
              </w:tabs>
              <w:spacing w:before="0" w:after="120"/>
              <w:rPr/>
            </w:pPr>
            <w:r>
              <w:rPr/>
              <w:t>5.15</w:t>
            </w:r>
          </w:p>
        </w:tc>
        <w:tc>
          <w:tcPr>
            <w:tcW w:w="806" w:type="dxa"/>
            <w:tcBorders/>
          </w:tcPr>
          <w:p>
            <w:pPr>
              <w:pStyle w:val="Table"/>
              <w:tabs>
                <w:tab w:val="clear" w:pos="720"/>
                <w:tab w:val="decimal" w:pos="224" w:leader="none"/>
              </w:tabs>
              <w:spacing w:before="0" w:after="120"/>
              <w:rPr/>
            </w:pPr>
            <w:r>
              <w:rPr/>
              <w:t>6.73</w:t>
            </w:r>
          </w:p>
        </w:tc>
      </w:tr>
      <w:tr>
        <w:trPr/>
        <w:tc>
          <w:tcPr>
            <w:tcW w:w="628" w:type="dxa"/>
            <w:tcBorders/>
          </w:tcPr>
          <w:p>
            <w:pPr>
              <w:pStyle w:val="Table"/>
              <w:spacing w:before="0" w:after="120"/>
              <w:jc w:val="center"/>
              <w:rPr/>
            </w:pPr>
            <w:r>
              <w:rPr/>
              <w:t>4</w:t>
            </w:r>
          </w:p>
        </w:tc>
        <w:tc>
          <w:tcPr>
            <w:tcW w:w="2583" w:type="dxa"/>
            <w:tcBorders/>
          </w:tcPr>
          <w:p>
            <w:pPr>
              <w:pStyle w:val="Table"/>
              <w:spacing w:before="0" w:after="120"/>
              <w:rPr/>
            </w:pPr>
            <w:r>
              <w:rPr/>
              <w:t>Sustained Price Scenario</w:t>
            </w:r>
          </w:p>
        </w:tc>
        <w:tc>
          <w:tcPr>
            <w:tcW w:w="806" w:type="dxa"/>
            <w:tcBorders/>
          </w:tcPr>
          <w:p>
            <w:pPr>
              <w:pStyle w:val="Table"/>
              <w:tabs>
                <w:tab w:val="clear" w:pos="720"/>
                <w:tab w:val="decimal" w:pos="216" w:leader="none"/>
              </w:tabs>
              <w:spacing w:before="0" w:after="120"/>
              <w:jc w:val="both"/>
              <w:rPr/>
            </w:pPr>
            <w:r>
              <w:rPr/>
              <w:t>3.34</w:t>
            </w:r>
          </w:p>
        </w:tc>
        <w:tc>
          <w:tcPr>
            <w:tcW w:w="806" w:type="dxa"/>
            <w:tcBorders/>
          </w:tcPr>
          <w:p>
            <w:pPr>
              <w:pStyle w:val="Table"/>
              <w:tabs>
                <w:tab w:val="clear" w:pos="720"/>
                <w:tab w:val="decimal" w:pos="220" w:leader="none"/>
              </w:tabs>
              <w:spacing w:before="0" w:after="120"/>
              <w:rPr/>
            </w:pPr>
            <w:r>
              <w:rPr/>
              <w:t>4.22</w:t>
            </w:r>
          </w:p>
        </w:tc>
        <w:tc>
          <w:tcPr>
            <w:tcW w:w="806" w:type="dxa"/>
            <w:tcBorders/>
          </w:tcPr>
          <w:p>
            <w:pPr>
              <w:pStyle w:val="Table"/>
              <w:tabs>
                <w:tab w:val="clear" w:pos="720"/>
                <w:tab w:val="decimal" w:pos="224" w:leader="none"/>
              </w:tabs>
              <w:spacing w:before="0" w:after="120"/>
              <w:rPr/>
            </w:pPr>
            <w:r>
              <w:rPr/>
              <w:t>7.21</w:t>
            </w:r>
          </w:p>
        </w:tc>
      </w:tr>
      <w:tr>
        <w:trPr/>
        <w:tc>
          <w:tcPr>
            <w:tcW w:w="628" w:type="dxa"/>
            <w:tcBorders/>
          </w:tcPr>
          <w:p>
            <w:pPr>
              <w:pStyle w:val="Table"/>
              <w:snapToGrid w:val="false"/>
              <w:spacing w:before="0" w:after="120"/>
              <w:jc w:val="center"/>
              <w:rPr/>
            </w:pPr>
            <w:r>
              <w:rPr/>
            </w:r>
          </w:p>
        </w:tc>
        <w:tc>
          <w:tcPr>
            <w:tcW w:w="2583" w:type="dxa"/>
            <w:tcBorders/>
          </w:tcPr>
          <w:p>
            <w:pPr>
              <w:pStyle w:val="Table"/>
              <w:snapToGrid w:val="false"/>
              <w:spacing w:before="0" w:after="120"/>
              <w:rPr/>
            </w:pPr>
            <w:r>
              <w:rPr/>
            </w:r>
          </w:p>
        </w:tc>
        <w:tc>
          <w:tcPr>
            <w:tcW w:w="806" w:type="dxa"/>
            <w:tcBorders/>
          </w:tcPr>
          <w:p>
            <w:pPr>
              <w:pStyle w:val="Table"/>
              <w:tabs>
                <w:tab w:val="clear" w:pos="720"/>
                <w:tab w:val="decimal" w:pos="476" w:leader="none"/>
              </w:tabs>
              <w:snapToGrid w:val="false"/>
              <w:spacing w:before="0" w:after="120"/>
              <w:rPr/>
            </w:pPr>
            <w:r>
              <w:rPr/>
            </w:r>
          </w:p>
        </w:tc>
        <w:tc>
          <w:tcPr>
            <w:tcW w:w="806" w:type="dxa"/>
            <w:tcBorders/>
          </w:tcPr>
          <w:p>
            <w:pPr>
              <w:pStyle w:val="Table"/>
              <w:snapToGrid w:val="false"/>
              <w:spacing w:before="0" w:after="120"/>
              <w:jc w:val="center"/>
              <w:rPr/>
            </w:pPr>
            <w:r>
              <w:rPr/>
            </w:r>
          </w:p>
        </w:tc>
        <w:tc>
          <w:tcPr>
            <w:tcW w:w="806" w:type="dxa"/>
            <w:tcBorders/>
          </w:tcPr>
          <w:p>
            <w:pPr>
              <w:pStyle w:val="Table"/>
              <w:snapToGrid w:val="false"/>
              <w:spacing w:before="0" w:after="120"/>
              <w:jc w:val="center"/>
              <w:rPr/>
            </w:pPr>
            <w:r>
              <w:rPr/>
            </w:r>
          </w:p>
        </w:tc>
      </w:tr>
    </w:tbl>
    <w:p>
      <w:pPr>
        <w:pStyle w:val="Bullet2"/>
        <w:numPr>
          <w:ilvl w:val="0"/>
          <w:numId w:val="0"/>
        </w:numPr>
        <w:ind w:hanging="0" w:start="864" w:end="0"/>
        <w:rPr/>
      </w:pPr>
      <w:r>
        <w:rPr/>
        <w:t xml:space="preserve">Figure 6, below, shows the ratio of FFO to total debt.  This measure indicates less financial strength than FFO interest coverage because it directly captures the cumulative impact of high debt leverage, which takes several years to pay down.  Under the moderating and sustained price scenarios, FFO to total debt strengthens in 2001, but only to levels which would support weak BBB or BB credit ratings, respectively.  Under both energy price scenarios, however, this measure gradually strengthens after 2001 to strong BBB or even A levels.  </w:t>
      </w:r>
    </w:p>
    <w:p>
      <w:pPr>
        <w:pStyle w:val="TableCaption"/>
        <w:rPr/>
      </w:pPr>
      <w:r>
        <w:rPr/>
        <w:t>TABLE 6</w:t>
        <w:br/>
        <w:t>FFO to TOTAL DEBT</w:t>
      </w:r>
    </w:p>
    <w:tbl>
      <w:tblPr>
        <w:tblW w:w="6689" w:type="dxa"/>
        <w:jc w:val="center"/>
        <w:tblInd w:w="0" w:type="dxa"/>
        <w:tblLayout w:type="fixed"/>
        <w:tblCellMar>
          <w:top w:w="0" w:type="dxa"/>
          <w:start w:w="108" w:type="dxa"/>
          <w:bottom w:w="0" w:type="dxa"/>
          <w:end w:w="108" w:type="dxa"/>
        </w:tblCellMar>
      </w:tblPr>
      <w:tblGrid>
        <w:gridCol w:w="628"/>
        <w:gridCol w:w="2583"/>
        <w:gridCol w:w="1035"/>
        <w:gridCol w:w="1014"/>
        <w:gridCol w:w="1429"/>
      </w:tblGrid>
      <w:tr>
        <w:trPr/>
        <w:tc>
          <w:tcPr>
            <w:tcW w:w="628" w:type="dxa"/>
            <w:tcBorders/>
          </w:tcPr>
          <w:p>
            <w:pPr>
              <w:pStyle w:val="Table-FirstRow"/>
              <w:pBdr>
                <w:bottom w:val="single" w:sz="4" w:space="1" w:color="000000"/>
              </w:pBdr>
              <w:spacing w:before="120" w:after="0"/>
              <w:jc w:val="center"/>
              <w:rPr>
                <w:b/>
                <w:bCs/>
              </w:rPr>
            </w:pPr>
            <w:r>
              <w:rPr>
                <w:b/>
                <w:bCs/>
              </w:rPr>
              <w:t>Line</w:t>
              <w:br/>
              <w:t>No.</w:t>
            </w:r>
          </w:p>
        </w:tc>
        <w:tc>
          <w:tcPr>
            <w:tcW w:w="2583" w:type="dxa"/>
            <w:tcBorders/>
          </w:tcPr>
          <w:p>
            <w:pPr>
              <w:pStyle w:val="Table-FirstRow"/>
              <w:snapToGrid w:val="false"/>
              <w:spacing w:before="120" w:after="0"/>
              <w:jc w:val="center"/>
              <w:rPr>
                <w:b/>
                <w:bCs/>
              </w:rPr>
            </w:pPr>
            <w:r>
              <w:rPr>
                <w:b/>
                <w:bCs/>
              </w:rPr>
            </w:r>
          </w:p>
        </w:tc>
        <w:tc>
          <w:tcPr>
            <w:tcW w:w="1035" w:type="dxa"/>
            <w:tcBorders/>
          </w:tcPr>
          <w:p>
            <w:pPr>
              <w:pStyle w:val="Table-FirstRow"/>
              <w:pBdr>
                <w:bottom w:val="single" w:sz="4" w:space="1" w:color="000000"/>
              </w:pBdr>
              <w:spacing w:before="120" w:after="0"/>
              <w:jc w:val="center"/>
              <w:rPr/>
            </w:pPr>
            <w:r>
              <w:rPr>
                <w:b/>
                <w:u w:val="single"/>
              </w:rPr>
              <w:br/>
            </w:r>
            <w:r>
              <w:rPr>
                <w:b/>
              </w:rPr>
              <w:t>2001</w:t>
            </w:r>
          </w:p>
        </w:tc>
        <w:tc>
          <w:tcPr>
            <w:tcW w:w="1014" w:type="dxa"/>
            <w:tcBorders/>
          </w:tcPr>
          <w:p>
            <w:pPr>
              <w:pStyle w:val="Table-FirstRow"/>
              <w:pBdr>
                <w:bottom w:val="single" w:sz="4" w:space="1" w:color="000000"/>
              </w:pBdr>
              <w:spacing w:before="120" w:after="0"/>
              <w:jc w:val="center"/>
              <w:rPr/>
            </w:pPr>
            <w:r>
              <w:rPr>
                <w:b/>
                <w:u w:val="single"/>
              </w:rPr>
              <w:br/>
            </w:r>
            <w:r>
              <w:rPr>
                <w:b/>
              </w:rPr>
              <w:t>2002</w:t>
            </w:r>
          </w:p>
        </w:tc>
        <w:tc>
          <w:tcPr>
            <w:tcW w:w="1429" w:type="dxa"/>
            <w:tcBorders/>
          </w:tcPr>
          <w:p>
            <w:pPr>
              <w:pStyle w:val="Table-FirstRow"/>
              <w:pBdr>
                <w:bottom w:val="single" w:sz="4" w:space="1" w:color="000000"/>
              </w:pBdr>
              <w:spacing w:before="120" w:after="120"/>
              <w:jc w:val="center"/>
              <w:rPr/>
            </w:pPr>
            <w:r>
              <w:rPr>
                <w:b/>
                <w:u w:val="single"/>
              </w:rPr>
              <w:br/>
            </w:r>
            <w:r>
              <w:rPr>
                <w:b/>
              </w:rPr>
              <w:t>2003</w:t>
            </w:r>
          </w:p>
        </w:tc>
      </w:tr>
      <w:tr>
        <w:trPr/>
        <w:tc>
          <w:tcPr>
            <w:tcW w:w="628" w:type="dxa"/>
            <w:tcBorders/>
          </w:tcPr>
          <w:p>
            <w:pPr>
              <w:pStyle w:val="Table"/>
              <w:spacing w:before="0" w:after="120"/>
              <w:jc w:val="center"/>
              <w:rPr/>
            </w:pPr>
            <w:r>
              <w:rPr/>
              <w:t>1</w:t>
            </w:r>
          </w:p>
        </w:tc>
        <w:tc>
          <w:tcPr>
            <w:tcW w:w="2583" w:type="dxa"/>
            <w:tcBorders/>
          </w:tcPr>
          <w:p>
            <w:pPr>
              <w:pStyle w:val="Table"/>
              <w:spacing w:before="0" w:after="120"/>
              <w:rPr/>
            </w:pPr>
            <w:r>
              <w:rPr/>
              <w:t>BBB Benchmark</w:t>
            </w:r>
          </w:p>
        </w:tc>
        <w:tc>
          <w:tcPr>
            <w:tcW w:w="1035" w:type="dxa"/>
            <w:tcBorders/>
          </w:tcPr>
          <w:p>
            <w:pPr>
              <w:pStyle w:val="Table"/>
              <w:spacing w:before="0" w:after="120"/>
              <w:jc w:val="center"/>
              <w:rPr/>
            </w:pPr>
            <w:r>
              <w:rPr/>
              <w:t>23.8%</w:t>
            </w:r>
          </w:p>
        </w:tc>
        <w:tc>
          <w:tcPr>
            <w:tcW w:w="1014" w:type="dxa"/>
            <w:tcBorders/>
          </w:tcPr>
          <w:p>
            <w:pPr>
              <w:pStyle w:val="Table"/>
              <w:spacing w:before="0" w:after="120"/>
              <w:jc w:val="center"/>
              <w:rPr/>
            </w:pPr>
            <w:r>
              <w:rPr/>
              <w:t>23.8%</w:t>
            </w:r>
          </w:p>
        </w:tc>
        <w:tc>
          <w:tcPr>
            <w:tcW w:w="1429" w:type="dxa"/>
            <w:tcBorders/>
          </w:tcPr>
          <w:p>
            <w:pPr>
              <w:pStyle w:val="Table"/>
              <w:spacing w:before="0" w:after="120"/>
              <w:jc w:val="center"/>
              <w:rPr/>
            </w:pPr>
            <w:r>
              <w:rPr/>
              <w:t>23.8%</w:t>
            </w:r>
          </w:p>
        </w:tc>
      </w:tr>
      <w:tr>
        <w:trPr/>
        <w:tc>
          <w:tcPr>
            <w:tcW w:w="628" w:type="dxa"/>
            <w:tcBorders/>
          </w:tcPr>
          <w:p>
            <w:pPr>
              <w:pStyle w:val="Table"/>
              <w:spacing w:before="0" w:after="120"/>
              <w:jc w:val="center"/>
              <w:rPr/>
            </w:pPr>
            <w:r>
              <w:rPr/>
              <w:t>2</w:t>
            </w:r>
          </w:p>
        </w:tc>
        <w:tc>
          <w:tcPr>
            <w:tcW w:w="2583" w:type="dxa"/>
            <w:tcBorders/>
          </w:tcPr>
          <w:p>
            <w:pPr>
              <w:pStyle w:val="Table"/>
              <w:spacing w:before="0" w:after="120"/>
              <w:rPr/>
            </w:pPr>
            <w:r>
              <w:rPr/>
              <w:t>BB Benchmark</w:t>
            </w:r>
          </w:p>
        </w:tc>
        <w:tc>
          <w:tcPr>
            <w:tcW w:w="1035" w:type="dxa"/>
            <w:tcBorders/>
          </w:tcPr>
          <w:p>
            <w:pPr>
              <w:pStyle w:val="Table"/>
              <w:spacing w:before="0" w:after="120"/>
              <w:jc w:val="center"/>
              <w:rPr/>
            </w:pPr>
            <w:r>
              <w:rPr/>
              <w:t>17.8%</w:t>
            </w:r>
          </w:p>
        </w:tc>
        <w:tc>
          <w:tcPr>
            <w:tcW w:w="1014" w:type="dxa"/>
            <w:tcBorders/>
          </w:tcPr>
          <w:p>
            <w:pPr>
              <w:pStyle w:val="Table"/>
              <w:spacing w:before="0" w:after="120"/>
              <w:jc w:val="center"/>
              <w:rPr/>
            </w:pPr>
            <w:r>
              <w:rPr/>
              <w:t>17.8%</w:t>
            </w:r>
          </w:p>
        </w:tc>
        <w:tc>
          <w:tcPr>
            <w:tcW w:w="1429" w:type="dxa"/>
            <w:tcBorders/>
          </w:tcPr>
          <w:p>
            <w:pPr>
              <w:pStyle w:val="Table"/>
              <w:spacing w:before="0" w:after="120"/>
              <w:jc w:val="center"/>
              <w:rPr/>
            </w:pPr>
            <w:r>
              <w:rPr/>
              <w:t>17.8%</w:t>
            </w:r>
          </w:p>
        </w:tc>
      </w:tr>
      <w:tr>
        <w:trPr/>
        <w:tc>
          <w:tcPr>
            <w:tcW w:w="628" w:type="dxa"/>
            <w:tcBorders/>
          </w:tcPr>
          <w:p>
            <w:pPr>
              <w:pStyle w:val="Table"/>
              <w:spacing w:before="0" w:after="120"/>
              <w:jc w:val="center"/>
              <w:rPr/>
            </w:pPr>
            <w:r>
              <w:rPr/>
              <w:t>3</w:t>
            </w:r>
          </w:p>
        </w:tc>
        <w:tc>
          <w:tcPr>
            <w:tcW w:w="2583" w:type="dxa"/>
            <w:tcBorders/>
          </w:tcPr>
          <w:p>
            <w:pPr>
              <w:pStyle w:val="Table"/>
              <w:spacing w:before="0" w:after="120"/>
              <w:rPr/>
            </w:pPr>
            <w:r>
              <w:rPr/>
              <w:t>Moderating Price Scenario</w:t>
            </w:r>
          </w:p>
        </w:tc>
        <w:tc>
          <w:tcPr>
            <w:tcW w:w="1035" w:type="dxa"/>
            <w:tcBorders/>
          </w:tcPr>
          <w:p>
            <w:pPr>
              <w:pStyle w:val="Table"/>
              <w:spacing w:before="0" w:after="120"/>
              <w:jc w:val="center"/>
              <w:rPr/>
            </w:pPr>
            <w:r>
              <w:rPr/>
              <w:t>20.0%</w:t>
            </w:r>
          </w:p>
        </w:tc>
        <w:tc>
          <w:tcPr>
            <w:tcW w:w="1014" w:type="dxa"/>
            <w:tcBorders/>
          </w:tcPr>
          <w:p>
            <w:pPr>
              <w:pStyle w:val="Table"/>
              <w:spacing w:before="0" w:after="120"/>
              <w:jc w:val="center"/>
              <w:rPr/>
            </w:pPr>
            <w:r>
              <w:rPr/>
              <w:t>28.0%</w:t>
            </w:r>
          </w:p>
        </w:tc>
        <w:tc>
          <w:tcPr>
            <w:tcW w:w="1429" w:type="dxa"/>
            <w:tcBorders/>
          </w:tcPr>
          <w:p>
            <w:pPr>
              <w:pStyle w:val="Table"/>
              <w:spacing w:before="0" w:after="120"/>
              <w:jc w:val="center"/>
              <w:rPr/>
            </w:pPr>
            <w:r>
              <w:rPr/>
              <w:t>38.7%</w:t>
            </w:r>
          </w:p>
        </w:tc>
      </w:tr>
      <w:tr>
        <w:trPr/>
        <w:tc>
          <w:tcPr>
            <w:tcW w:w="628" w:type="dxa"/>
            <w:tcBorders/>
          </w:tcPr>
          <w:p>
            <w:pPr>
              <w:pStyle w:val="Table"/>
              <w:spacing w:before="0" w:after="120"/>
              <w:jc w:val="center"/>
              <w:rPr/>
            </w:pPr>
            <w:r>
              <w:rPr/>
              <w:t>4</w:t>
            </w:r>
          </w:p>
        </w:tc>
        <w:tc>
          <w:tcPr>
            <w:tcW w:w="2583" w:type="dxa"/>
            <w:tcBorders/>
          </w:tcPr>
          <w:p>
            <w:pPr>
              <w:pStyle w:val="Table"/>
              <w:spacing w:before="0" w:after="120"/>
              <w:rPr/>
            </w:pPr>
            <w:r>
              <w:rPr/>
              <w:t>Sustained Price Scenario</w:t>
            </w:r>
          </w:p>
        </w:tc>
        <w:tc>
          <w:tcPr>
            <w:tcW w:w="1035" w:type="dxa"/>
            <w:tcBorders/>
          </w:tcPr>
          <w:p>
            <w:pPr>
              <w:pStyle w:val="Table"/>
              <w:spacing w:before="0" w:after="120"/>
              <w:jc w:val="center"/>
              <w:rPr/>
            </w:pPr>
            <w:r>
              <w:rPr/>
              <w:t>15.9%</w:t>
            </w:r>
          </w:p>
        </w:tc>
        <w:tc>
          <w:tcPr>
            <w:tcW w:w="1014" w:type="dxa"/>
            <w:tcBorders/>
          </w:tcPr>
          <w:p>
            <w:pPr>
              <w:pStyle w:val="Table"/>
              <w:spacing w:before="0" w:after="120"/>
              <w:jc w:val="center"/>
              <w:rPr/>
            </w:pPr>
            <w:r>
              <w:rPr/>
              <w:t>21.6%</w:t>
            </w:r>
          </w:p>
        </w:tc>
        <w:tc>
          <w:tcPr>
            <w:tcW w:w="1429" w:type="dxa"/>
            <w:tcBorders/>
          </w:tcPr>
          <w:p>
            <w:pPr>
              <w:pStyle w:val="Table"/>
              <w:spacing w:before="0" w:after="120"/>
              <w:jc w:val="center"/>
              <w:rPr/>
            </w:pPr>
            <w:r>
              <w:rPr/>
              <w:t>41.5%</w:t>
            </w:r>
          </w:p>
        </w:tc>
      </w:tr>
      <w:tr>
        <w:trPr/>
        <w:tc>
          <w:tcPr>
            <w:tcW w:w="628" w:type="dxa"/>
            <w:tcBorders/>
          </w:tcPr>
          <w:p>
            <w:pPr>
              <w:pStyle w:val="Table"/>
              <w:snapToGrid w:val="false"/>
              <w:spacing w:before="0" w:after="120"/>
              <w:jc w:val="center"/>
              <w:rPr/>
            </w:pPr>
            <w:r>
              <w:rPr/>
            </w:r>
          </w:p>
        </w:tc>
        <w:tc>
          <w:tcPr>
            <w:tcW w:w="2583" w:type="dxa"/>
            <w:tcBorders/>
          </w:tcPr>
          <w:p>
            <w:pPr>
              <w:pStyle w:val="Table"/>
              <w:snapToGrid w:val="false"/>
              <w:spacing w:before="0" w:after="120"/>
              <w:rPr/>
            </w:pPr>
            <w:r>
              <w:rPr/>
            </w:r>
          </w:p>
        </w:tc>
        <w:tc>
          <w:tcPr>
            <w:tcW w:w="1035" w:type="dxa"/>
            <w:tcBorders/>
          </w:tcPr>
          <w:p>
            <w:pPr>
              <w:pStyle w:val="Table"/>
              <w:snapToGrid w:val="false"/>
              <w:spacing w:before="0" w:after="120"/>
              <w:jc w:val="center"/>
              <w:rPr/>
            </w:pPr>
            <w:r>
              <w:rPr/>
            </w:r>
          </w:p>
        </w:tc>
        <w:tc>
          <w:tcPr>
            <w:tcW w:w="1014" w:type="dxa"/>
            <w:tcBorders/>
          </w:tcPr>
          <w:p>
            <w:pPr>
              <w:pStyle w:val="Table"/>
              <w:snapToGrid w:val="false"/>
              <w:spacing w:before="0" w:after="120"/>
              <w:jc w:val="center"/>
              <w:rPr/>
            </w:pPr>
            <w:r>
              <w:rPr/>
            </w:r>
          </w:p>
        </w:tc>
        <w:tc>
          <w:tcPr>
            <w:tcW w:w="1429" w:type="dxa"/>
            <w:tcBorders/>
          </w:tcPr>
          <w:p>
            <w:pPr>
              <w:pStyle w:val="Table"/>
              <w:snapToGrid w:val="false"/>
              <w:spacing w:before="0" w:after="120"/>
              <w:jc w:val="center"/>
              <w:rPr/>
            </w:pPr>
            <w:r>
              <w:rPr/>
            </w:r>
          </w:p>
        </w:tc>
      </w:tr>
    </w:tbl>
    <w:p>
      <w:pPr>
        <w:pStyle w:val="Body2"/>
        <w:rPr/>
      </w:pPr>
      <w:r>
        <w:rPr/>
        <w:t>As described in Section A</w:t>
        <w:noBreakHyphen/>
        <w:t>2, above, creditors and credit rating agencies are willing to look beyond a current adverse event if they believe that a company’s financial profile is likely to strengthen.  Thus, PG&amp;E has retained its “A” credit ratings for the time being, given the expectation that the Commission will quickly take constructive steps to help restore its financial condition.  Likewise, the trends under both RSP scenarios indicate a steadily improving financial profile that should enable PG&amp;E to maintain at least minimal investment grade credit ratings (BBB), and perhaps even retain its current “A” ratings.</w:t>
      </w:r>
    </w:p>
    <w:p>
      <w:pPr>
        <w:pStyle w:val="Body2"/>
        <w:rPr/>
      </w:pPr>
      <w:r>
        <w:rPr/>
        <w:t>Creditors and rating agencies will continue to view PG&amp;E as credit</w:t>
        <w:noBreakHyphen/>
        <w:t>worthy if they see the prospect of significant strengthening financial condition, full recovery of power cost undercollections, and an otherwise financially healthy utility.  These financial projections incorporate a number of other assumptions, which, if changed for the worse, could weaken these levels of financial performance:</w:t>
      </w:r>
    </w:p>
    <w:p>
      <w:pPr>
        <w:pStyle w:val="Bullet2"/>
        <w:numPr>
          <w:ilvl w:val="0"/>
          <w:numId w:val="3"/>
        </w:numPr>
        <w:rPr/>
      </w:pPr>
      <w:r>
        <w:rPr/>
        <w:t>No disallowance of deferred purchased power costs is incurred;</w:t>
      </w:r>
    </w:p>
    <w:p>
      <w:pPr>
        <w:pStyle w:val="Bullet2"/>
        <w:numPr>
          <w:ilvl w:val="0"/>
          <w:numId w:val="3"/>
        </w:numPr>
        <w:rPr/>
      </w:pPr>
      <w:r>
        <w:rPr/>
        <w:t>No economic loss is incurred due to the sale or other disposition of hydro</w:t>
        <w:noBreakHyphen/>
        <w:t>electric assets;</w:t>
      </w:r>
    </w:p>
    <w:p>
      <w:pPr>
        <w:pStyle w:val="Bullet2"/>
        <w:numPr>
          <w:ilvl w:val="0"/>
          <w:numId w:val="3"/>
        </w:numPr>
        <w:rPr/>
      </w:pPr>
      <w:r>
        <w:rPr/>
        <w:t>Gas and electric transmission and distribution operations earn the Commission authorized ROE;</w:t>
      </w:r>
    </w:p>
    <w:p>
      <w:pPr>
        <w:pStyle w:val="Bullet2"/>
        <w:numPr>
          <w:ilvl w:val="0"/>
          <w:numId w:val="3"/>
        </w:numPr>
        <w:rPr/>
      </w:pPr>
      <w:r>
        <w:rPr/>
        <w:t>Power prices, particularly those during fall, winter and spring, remain at average levels no higher than recorded during 2000;</w:t>
      </w:r>
    </w:p>
    <w:p>
      <w:pPr>
        <w:pStyle w:val="Bullet2"/>
        <w:numPr>
          <w:ilvl w:val="0"/>
          <w:numId w:val="3"/>
        </w:numPr>
        <w:rPr/>
      </w:pPr>
      <w:r>
        <w:rPr/>
        <w:t>Hydro and nuclear assets have operational performance consistent with recent levels; and</w:t>
      </w:r>
    </w:p>
    <w:p>
      <w:pPr>
        <w:pStyle w:val="Bullet2"/>
        <w:numPr>
          <w:ilvl w:val="0"/>
          <w:numId w:val="3"/>
        </w:numPr>
        <w:rPr/>
      </w:pPr>
      <w:r>
        <w:rPr/>
        <w:t xml:space="preserve">Capital market conditions remain relatively stable for issuers.  </w:t>
      </w:r>
    </w:p>
    <w:p>
      <w:pPr>
        <w:pStyle w:val="Heading2"/>
        <w:ind w:firstLine="432" w:start="0"/>
        <w:rPr/>
      </w:pPr>
      <w:bookmarkStart w:id="11" w:name="__RefHeading___Toc499524207"/>
      <w:bookmarkEnd w:id="11"/>
      <w:r>
        <w:rPr/>
        <w:t>The RSP Incorporates Financial “Safety Valves”</w:t>
      </w:r>
    </w:p>
    <w:p>
      <w:pPr>
        <w:pStyle w:val="Body2"/>
        <w:rPr/>
      </w:pPr>
      <w:r>
        <w:rPr/>
        <w:t>Beginning in 2002, PG&amp;E will set the commodity price for customers served under mandatory price stabilization based on the total uncollected year-end balance in the Deferred Procurement Revenue Account, and amortization of the total over two years.  This mechanism is discussed in detail in Chapter 7.  In addition, price stabilization incorporates a trigger mechanism to provide a financial safety valve that can automatically increase customer energy rates when either the total balance of undercollected energy costs or the rate of increase in undercollections reaches certain thresholds.  A safety valve is needed to ensure that future undercollections remain within levels which can reasonably be financed.  Automatic triggers are necessary to maintain the confidence of the financial community that at least a portion of higher than expected power costs can be recovered without the delays and uncertainties of administrative litigation.  Both the “total balance” and the “change in balance” of energy cost undercollections are appropriate measures for setting a trigger mechanism.</w:t>
      </w:r>
    </w:p>
    <w:p>
      <w:pPr>
        <w:pStyle w:val="Body2"/>
        <w:rPr/>
      </w:pPr>
      <w:r>
        <w:rPr/>
        <w:t>The total balance of energy cost undercollections affects total debt leverage.  At some point, even if the Company is able to pay current power costs out of current rates, the additional debt required to finance the undercollected balance will prove too great to maintain investment grade credit ratings.  The “total balance trigger” works in the following manner.  Should the sum of net UCSA, DPRA and PECA undercollected balances rise above a threshold level in any month after the beginning of the RSP, an automatic $.01/kWh increase shall occur during the following month for all customers participating in the mandatory price stabilization.  This increase provides annualized after-tax cash flow sufficient to increase FFO interest coverage by .5 times, approximately half of the difference between benchmark credit ratings levels.  The threshold would use the following schedule:</w:t>
      </w:r>
    </w:p>
    <w:p>
      <w:pPr>
        <w:pStyle w:val="Bullet2"/>
        <w:numPr>
          <w:ilvl w:val="0"/>
          <w:numId w:val="3"/>
        </w:numPr>
        <w:rPr/>
      </w:pPr>
      <w:r>
        <w:rPr/>
        <w:t>$4.5 billion up to 12</w:t>
        <w:noBreakHyphen/>
        <w:t>31</w:t>
        <w:noBreakHyphen/>
        <w:t>01;</w:t>
      </w:r>
    </w:p>
    <w:p>
      <w:pPr>
        <w:pStyle w:val="Bullet2"/>
        <w:numPr>
          <w:ilvl w:val="0"/>
          <w:numId w:val="3"/>
        </w:numPr>
        <w:rPr/>
      </w:pPr>
      <w:r>
        <w:rPr/>
        <w:t>$4.0 billion up to 12</w:t>
        <w:noBreakHyphen/>
        <w:t>31</w:t>
        <w:noBreakHyphen/>
        <w:t>02;</w:t>
      </w:r>
    </w:p>
    <w:p>
      <w:pPr>
        <w:pStyle w:val="Bullet2"/>
        <w:numPr>
          <w:ilvl w:val="0"/>
          <w:numId w:val="3"/>
        </w:numPr>
        <w:rPr/>
      </w:pPr>
      <w:r>
        <w:rPr/>
        <w:t>$3.5 billion up to 12</w:t>
        <w:noBreakHyphen/>
        <w:t>31</w:t>
        <w:noBreakHyphen/>
        <w:t>03;</w:t>
      </w:r>
    </w:p>
    <w:p>
      <w:pPr>
        <w:pStyle w:val="Bullet2"/>
        <w:numPr>
          <w:ilvl w:val="0"/>
          <w:numId w:val="3"/>
        </w:numPr>
        <w:rPr/>
      </w:pPr>
      <w:r>
        <w:rPr/>
        <w:t>$2.5 billion up to 12</w:t>
        <w:noBreakHyphen/>
        <w:t>31</w:t>
        <w:noBreakHyphen/>
        <w:t>04; and</w:t>
      </w:r>
    </w:p>
    <w:p>
      <w:pPr>
        <w:pStyle w:val="Bullet2"/>
        <w:numPr>
          <w:ilvl w:val="0"/>
          <w:numId w:val="3"/>
        </w:numPr>
        <w:rPr/>
      </w:pPr>
      <w:r>
        <w:rPr/>
        <w:t>$1.5 billion up to 12</w:t>
        <w:noBreakHyphen/>
        <w:t>31</w:t>
        <w:noBreakHyphen/>
        <w:t xml:space="preserve">05.  </w:t>
      </w:r>
    </w:p>
    <w:p>
      <w:pPr>
        <w:pStyle w:val="Body2"/>
        <w:rPr/>
      </w:pPr>
      <w:r>
        <w:rPr/>
        <w:t xml:space="preserve">A total balance of approximately $4.0 to $4.5 billion is the maximum that could be supported on an ongoing basis and still enable the Company to maintain even a weak investment grade credit rating.  Credit ratios for the level of debt created by these balances would support a borderline BB/BBB credit rating.  However, an automatic mechanism to increase revenues should enable credit analysts to give the Company the benefit of the doubt, and maintain higher ratings.  The threshold balances decline in order to assure creditors that energy cost undercollections will ultimately be recovered.  However, PG&amp;E proposes a schedule with modest declines through 2003, given the risk that power prices may remain quite high for the next two or three years.  </w:t>
      </w:r>
    </w:p>
    <w:p>
      <w:pPr>
        <w:pStyle w:val="Body2"/>
        <w:rPr/>
      </w:pPr>
      <w:r>
        <w:rPr/>
        <w:t>As described above, actual balances should be adjusted for any change in the final valuation of the Company’s hydro</w:t>
        <w:noBreakHyphen/>
        <w:t xml:space="preserve">electric assets.  In the event that, as a result of regulatory or court action, the Company is not permitted to recover some portion of its power procurement undercollections, the threshold balance should be decreased by at least a corresponding amount since “disallowances” do not increase borrowing capacity and financial strength.  </w:t>
      </w:r>
    </w:p>
    <w:p>
      <w:pPr>
        <w:pStyle w:val="Body2"/>
        <w:rPr/>
      </w:pPr>
      <w:r>
        <w:rPr/>
        <w:t>The RSP also incorporates a “change in balance” trigger.  Rather than total balances, this trigger results from a cumulative increase in undercollections in one calendar year of $1.0 billion or more.  This rate of undercollection will materially increase financing requirements and weaken benchmark credit ratios.  For example, FFO coverage might support a solid “BBB” rating if the total balance is below $4.0 billion, but the Company is recovering in current revenues its power procurement costs.  However, if the rate of undercollections is high, FFO coverage would fall by approximately one times interest, resulting in a BB ratings profile even if the total balance were still below $4.0 billion.</w:t>
      </w:r>
    </w:p>
    <w:p>
      <w:pPr>
        <w:pStyle w:val="Body2"/>
        <w:rPr/>
      </w:pPr>
      <w:r>
        <w:rPr/>
        <w:t>The financial triggers can be used up to twice during each calendar year.  The triggers, which provide approximately $550 million of annualized additional pre</w:t>
        <w:noBreakHyphen/>
        <w:t xml:space="preserve">tax revenue, are only used as an interim increase until the end of year PECA rate change.  </w:t>
      </w:r>
    </w:p>
    <w:p>
      <w:pPr>
        <w:pStyle w:val="Body2"/>
        <w:rPr/>
      </w:pPr>
      <w:r>
        <w:rPr/>
        <w:t xml:space="preserve">The RSP rate trigger mechanism is a financial safety valve necessary to ensure creditor confidence in PG&amp;E’s financial stability.  PG&amp;E simply cannot survive another financial shock similar to that of the summer of 2000.  </w:t>
      </w:r>
    </w:p>
    <w:p>
      <w:pPr>
        <w:pStyle w:val="Heading1"/>
        <w:ind w:firstLine="432" w:start="0"/>
        <w:rPr/>
      </w:pPr>
      <w:bookmarkStart w:id="12" w:name="__RefHeading___Toc499524208"/>
      <w:bookmarkEnd w:id="12"/>
      <w:r>
        <w:rPr/>
        <w:t>Conclusion</w:t>
      </w:r>
    </w:p>
    <w:p>
      <w:pPr>
        <w:pStyle w:val="Body1"/>
        <w:rPr/>
      </w:pPr>
      <w:r>
        <w:rPr/>
        <w:t>A loss of creditor confidence will deepen the Company’s financial crisis.  PG&amp;E’s continued access to credit markets is necessary for it to provide safe, reliable utility service, and to be an effective contributor to long</w:t>
        <w:noBreakHyphen/>
        <w:t xml:space="preserve">term solutions to the current crisis.  A financially weak PG&amp;E is not in the interest of ratepayers or the state of California.  </w:t>
      </w:r>
    </w:p>
    <w:p>
      <w:pPr>
        <w:pStyle w:val="Body1"/>
        <w:rPr/>
      </w:pPr>
      <w:r>
        <w:rPr/>
        <w:t xml:space="preserve">The Commission must act promptly to restore the Company’s financial health.  In this application, PG&amp;E is proposing a rate stabilization plan which will help restore, the Company’s financial health.  Price stabilization will reduce financing requirements, enhance key benchmark credit ratios, and provide “safety valves” in the event that power costs escalate to levels not currently anticipated.  At the same time, price stabilization will protect most PG&amp;E customers—those least able to protect themselves </w:t>
        <w:noBreakHyphen/>
        <w:t xml:space="preserve"> against the worst impacts of very high rate and bill volatility inherent in full, immediate pass</w:t>
        <w:noBreakHyphen/>
        <w:t xml:space="preserve">through of wholesale power costs.  </w:t>
      </w:r>
    </w:p>
    <w:sectPr>
      <w:headerReference w:type="default" r:id="rId7"/>
      <w:headerReference w:type="first" r:id="rId8"/>
      <w:footerReference w:type="default" r:id="rId9"/>
      <w:footerReference w:type="first" r:id="rId10"/>
      <w:type w:val="nextPage"/>
      <w:pgSz w:w="12240" w:h="15840"/>
      <w:pgMar w:left="1440" w:right="1440" w:gutter="360" w:header="720" w:top="1008" w:footer="432" w:bottom="1008"/>
      <w:lnNumType w:countBy="1" w:restart="newPage" w:distance="283"/>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r>
    <w:r>
      <w:rPr/>
      <w:fldChar w:fldCharType="end"/>
    </w:r>
    <w:r>
      <w:rPr/>
      <w:t>-</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SEQ chap \* ARABIC </w:instrText>
    </w:r>
    <w:r>
      <w:rPr/>
      <w:fldChar w:fldCharType="separate"/>
    </w:r>
    <w:r>
      <w:rPr/>
      <w:t>14</w:t>
    </w:r>
    <w:r>
      <w:rPr/>
      <w:fldChar w:fldCharType="end"/>
    </w:r>
    <w:r>
      <w:rPr/>
      <w:t>-</w:t>
    </w:r>
    <w:r>
      <w:rPr/>
      <w:fldChar w:fldCharType="begin"/>
    </w:r>
    <w:r>
      <w:rPr/>
      <w:instrText xml:space="preserve"> PAGE </w:instrText>
    </w:r>
    <w:r>
      <w:rPr/>
      <w:fldChar w:fldCharType="separate"/>
    </w:r>
    <w:r>
      <w:rPr/>
      <w:t>i</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3-</w:t>
    </w:r>
    <w:r>
      <w:rPr/>
      <w:fldChar w:fldCharType="begin"/>
    </w:r>
    <w:r>
      <w:rPr/>
      <w:instrText xml:space="preserve"> PAGE </w:instrText>
    </w:r>
    <w:r>
      <w:rPr/>
      <w:fldChar w:fldCharType="separate"/>
    </w:r>
    <w:r>
      <w:rPr/>
      <w:t>21</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t>00/00/99</w:t>
    </w:r>
  </w:p>
  <w:p>
    <w:pPr>
      <w:pStyle w:val="TOCTitle"/>
      <w:spacing w:lineRule="atLeast" w:line="240" w:before="240" w:after="240"/>
      <w:ind w:hanging="0" w:start="0" w:end="0"/>
      <w:jc w:val="center"/>
      <w:rPr/>
    </w:pPr>
    <w:r>
      <w:rPr/>
      <w:t>PACIFIC GAS AND ELECTRIC COMPANY</w:t>
      <w:br/>
      <w:t xml:space="preserve">CHAPTER </w:t>
    </w:r>
    <w:r>
      <w:rPr/>
      <w:fldChar w:fldCharType="begin"/>
    </w:r>
    <w:r>
      <w:rPr/>
      <w:instrText xml:space="preserve"> SEQ chap \* ARABIC </w:instrText>
    </w:r>
    <w:r>
      <w:rPr/>
      <w:fldChar w:fldCharType="separate"/>
    </w:r>
    <w:r>
      <w:rPr/>
    </w:r>
    <w:r>
      <w:rPr/>
      <w:fldChar w:fldCharType="end"/>
    </w:r>
    <w:r>
      <w:rPr/>
      <w:br/>
      <w:t>CHAPTER TITLE</w:t>
      <w:br/>
      <w:br/>
      <w:t>TABLE OF CONTENTS</w:t>
      <w:br/>
      <w:br/>
      <w:t>(Continued)</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lvl>
    <w:lvl w:ilvl="1">
      <w:start w:val="1"/>
      <w:pStyle w:val="Heading2"/>
      <w:numFmt w:val="decimal"/>
      <w:lvlText w:val="%2."/>
      <w:lvlJc w:val="start"/>
      <w:pPr>
        <w:tabs>
          <w:tab w:val="num" w:pos="864"/>
        </w:tabs>
        <w:ind w:start="864" w:hanging="432"/>
      </w:pPr>
    </w:lvl>
    <w:lvl w:ilvl="2">
      <w:start w:val="1"/>
      <w:pStyle w:val="Heading3"/>
      <w:numFmt w:val="lowerLetter"/>
      <w:lvlText w:val="%3."/>
      <w:lvlJc w:val="start"/>
      <w:pPr>
        <w:tabs>
          <w:tab w:val="num" w:pos="1296"/>
        </w:tabs>
        <w:ind w:start="1296" w:hanging="432"/>
      </w:pPr>
    </w:lvl>
    <w:lvl w:ilvl="3">
      <w:start w:val="1"/>
      <w:pStyle w:val="Heading4"/>
      <w:numFmt w:val="decimal"/>
      <w:lvlText w:val="(%4)"/>
      <w:lvlJc w:val="start"/>
      <w:pPr>
        <w:tabs>
          <w:tab w:val="num" w:pos="1728"/>
        </w:tabs>
        <w:ind w:start="1728" w:hanging="432"/>
      </w:pPr>
    </w:lvl>
    <w:lvl w:ilvl="4">
      <w:start w:val="1"/>
      <w:pStyle w:val="Heading5"/>
      <w:numFmt w:val="lowerLetter"/>
      <w:lvlText w:val="(%5)"/>
      <w:lvlJc w:val="start"/>
      <w:pPr>
        <w:tabs>
          <w:tab w:val="num" w:pos="2160"/>
        </w:tabs>
        <w:ind w:start="2160" w:hanging="432"/>
      </w:pPr>
    </w:lvl>
    <w:lvl w:ilvl="5">
      <w:start w:val="1"/>
      <w:pStyle w:val="Heading6"/>
      <w:numFmt w:val="upperRoman"/>
      <w:lvlText w:val="(%6)"/>
      <w:lvlJc w:val="start"/>
      <w:pPr>
        <w:tabs>
          <w:tab w:val="num" w:pos="2880"/>
        </w:tabs>
        <w:ind w:start="2880" w:hanging="720"/>
      </w:pPr>
    </w:lvl>
    <w:lvl w:ilvl="6">
      <w:start w:val="1"/>
      <w:pStyle w:val="Heading7"/>
      <w:numFmt w:val="upperLetter"/>
      <w:lvlText w:val="(%7)"/>
      <w:lvlJc w:val="start"/>
      <w:pPr>
        <w:tabs>
          <w:tab w:val="num" w:pos="3600"/>
        </w:tabs>
        <w:ind w:start="3600" w:hanging="720"/>
      </w:pPr>
    </w:lvl>
    <w:lvl w:ilvl="7">
      <w:start w:val="1"/>
      <w:pStyle w:val="Heading8"/>
      <w:numFmt w:val="lowerRoman"/>
      <w:lvlText w:val="(%8)"/>
      <w:lvlJc w:val="start"/>
      <w:pPr>
        <w:tabs>
          <w:tab w:val="num" w:pos="4320"/>
        </w:tabs>
        <w:ind w:start="4320" w:hanging="720"/>
      </w:pPr>
    </w:lvl>
    <w:lvl w:ilvl="8">
      <w:start w:val="1"/>
      <w:pStyle w:val="Heading9"/>
      <w:numFmt w:val="lowerLetter"/>
      <w:lvlText w:val="(%9)"/>
      <w:lvlJc w:val="start"/>
      <w:pPr>
        <w:tabs>
          <w:tab w:val="num" w:pos="5040"/>
        </w:tabs>
        <w:ind w:start="5040" w:hanging="720"/>
      </w:pPr>
    </w:lvl>
  </w:abstractNum>
  <w:abstractNum w:abstractNumId="2">
    <w:lvl w:ilvl="0">
      <w:start w:val="1"/>
      <w:numFmt w:val="none"/>
      <w:suff w:val="nothing"/>
      <w:lvlText w:val=""/>
      <w:lvlJc w:val="start"/>
      <w:pPr>
        <w:tabs>
          <w:tab w:val="num" w:pos="432"/>
        </w:tabs>
        <w:ind w:start="2160" w:hanging="432"/>
      </w:pPr>
      <w:rPr>
        <w:sz w:val="20"/>
        <w:rFonts w:ascii="Symbol" w:hAnsi="Symbol" w:cs="Symbol"/>
        <w:color w:val="000000"/>
      </w:rPr>
    </w:lvl>
  </w:abstractNum>
  <w:abstractNum w:abstractNumId="3">
    <w:lvl w:ilvl="0">
      <w:start w:val="1"/>
      <w:numFmt w:val="none"/>
      <w:suff w:val="nothing"/>
      <w:lvlText w:val=""/>
      <w:lvlJc w:val="start"/>
      <w:pPr>
        <w:tabs>
          <w:tab w:val="num" w:pos="432"/>
        </w:tabs>
        <w:ind w:start="864" w:hanging="432"/>
      </w:pPr>
      <w:rPr>
        <w:sz w:val="20"/>
        <w:rFonts w:ascii="Symbol" w:hAnsi="Symbol" w:cs="Symbol"/>
        <w:color w:val="000000"/>
      </w:rPr>
    </w:lvl>
  </w:abstractNum>
  <w:abstractNum w:abstractNumId="4">
    <w:lvl w:ilvl="0">
      <w:start w:val="1"/>
      <w:numFmt w:val="none"/>
      <w:suff w:val="nothing"/>
      <w:lvlText w:val=""/>
      <w:lvlJc w:val="start"/>
      <w:pPr>
        <w:tabs>
          <w:tab w:val="num" w:pos="432"/>
        </w:tabs>
        <w:ind w:start="1728" w:hanging="432"/>
      </w:pPr>
      <w:rPr>
        <w:sz w:val="20"/>
        <w:rFonts w:ascii="Symbol" w:hAnsi="Symbol" w:cs="Symbol"/>
        <w:color w:val="000000"/>
      </w:rPr>
    </w:lvl>
  </w:abstractNum>
  <w:abstractNum w:abstractNumId="5">
    <w:lvl w:ilvl="0">
      <w:start w:val="1"/>
      <w:numFmt w:val="none"/>
      <w:suff w:val="nothing"/>
      <w:lvlText w:val=""/>
      <w:lvlJc w:val="start"/>
      <w:pPr>
        <w:tabs>
          <w:tab w:val="num" w:pos="432"/>
        </w:tabs>
        <w:ind w:start="1296" w:hanging="432"/>
      </w:pPr>
      <w:rPr>
        <w:sz w:val="20"/>
        <w:rFonts w:ascii="Symbol" w:hAnsi="Symbol" w:cs="Symbol"/>
        <w:color w:val="00000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0"/>
    <w:qFormat/>
    <w:pPr>
      <w:widowControl/>
      <w:bidi w:val="0"/>
      <w:spacing w:lineRule="exact" w:line="400"/>
      <w:ind w:firstLine="432" w:start="0" w:end="0"/>
    </w:pPr>
    <w:rPr>
      <w:rFonts w:ascii="Arial" w:hAnsi="Arial" w:eastAsia="Times New Roman" w:cs="Arial"/>
      <w:color w:val="000000"/>
      <w:sz w:val="24"/>
      <w:szCs w:val="20"/>
      <w:lang w:val="en-US" w:bidi="ar-SA" w:eastAsia="zh-CN"/>
    </w:rPr>
  </w:style>
  <w:style w:type="paragraph" w:styleId="Heading1">
    <w:name w:val="heading 1"/>
    <w:basedOn w:val="Normal"/>
    <w:next w:val="Body1"/>
    <w:qFormat/>
    <w:pPr>
      <w:keepNext w:val="true"/>
      <w:numPr>
        <w:ilvl w:val="0"/>
        <w:numId w:val="1"/>
      </w:numPr>
      <w:spacing w:before="120" w:after="0"/>
      <w:outlineLvl w:val="0"/>
    </w:pPr>
    <w:rPr>
      <w:b/>
      <w:sz w:val="28"/>
    </w:rPr>
  </w:style>
  <w:style w:type="paragraph" w:styleId="Heading2">
    <w:name w:val="heading 2"/>
    <w:basedOn w:val="Normal"/>
    <w:next w:val="Body2"/>
    <w:qFormat/>
    <w:pPr>
      <w:keepNext w:val="true"/>
      <w:numPr>
        <w:ilvl w:val="1"/>
        <w:numId w:val="1"/>
      </w:numPr>
      <w:spacing w:before="120" w:after="0"/>
      <w:outlineLvl w:val="1"/>
    </w:pPr>
    <w:rPr>
      <w:b/>
      <w:sz w:val="26"/>
    </w:rPr>
  </w:style>
  <w:style w:type="paragraph" w:styleId="Heading3">
    <w:name w:val="heading 3"/>
    <w:basedOn w:val="Heading2"/>
    <w:next w:val="Body3"/>
    <w:qFormat/>
    <w:pPr>
      <w:numPr>
        <w:ilvl w:val="2"/>
        <w:numId w:val="1"/>
      </w:numPr>
      <w:spacing w:before="60" w:after="0"/>
      <w:outlineLvl w:val="2"/>
    </w:pPr>
    <w:rPr>
      <w:sz w:val="23"/>
    </w:rPr>
  </w:style>
  <w:style w:type="paragraph" w:styleId="Heading4">
    <w:name w:val="heading 4"/>
    <w:basedOn w:val="Heading3"/>
    <w:next w:val="Body4"/>
    <w:qFormat/>
    <w:pPr>
      <w:numPr>
        <w:ilvl w:val="3"/>
        <w:numId w:val="1"/>
      </w:numPr>
      <w:outlineLvl w:val="3"/>
    </w:pPr>
    <w:rPr/>
  </w:style>
  <w:style w:type="paragraph" w:styleId="Heading5">
    <w:name w:val="heading 5"/>
    <w:basedOn w:val="Heading4"/>
    <w:next w:val="Body5"/>
    <w:qFormat/>
    <w:pPr>
      <w:numPr>
        <w:ilvl w:val="4"/>
        <w:numId w:val="1"/>
      </w:numPr>
      <w:outlineLvl w:val="4"/>
    </w:pPr>
    <w:rPr/>
  </w:style>
  <w:style w:type="paragraph" w:styleId="Heading6">
    <w:name w:val="heading 6"/>
    <w:basedOn w:val="Heading5"/>
    <w:next w:val="Body6"/>
    <w:qFormat/>
    <w:pPr>
      <w:numPr>
        <w:ilvl w:val="5"/>
        <w:numId w:val="1"/>
      </w:numPr>
      <w:tabs>
        <w:tab w:val="clear" w:pos="720"/>
      </w:tabs>
      <w:ind w:hanging="432" w:start="2592" w:end="0"/>
      <w:outlineLvl w:val="5"/>
    </w:pPr>
    <w:rPr/>
  </w:style>
  <w:style w:type="paragraph" w:styleId="Heading7">
    <w:name w:val="heading 7"/>
    <w:basedOn w:val="Heading6"/>
    <w:next w:val="Body7"/>
    <w:qFormat/>
    <w:pPr>
      <w:numPr>
        <w:ilvl w:val="6"/>
        <w:numId w:val="1"/>
      </w:numPr>
      <w:tabs>
        <w:tab w:val="left" w:pos="3060" w:leader="none"/>
      </w:tabs>
      <w:ind w:hanging="432" w:start="3024" w:end="0"/>
      <w:outlineLvl w:val="6"/>
    </w:pPr>
    <w:rPr/>
  </w:style>
  <w:style w:type="paragraph" w:styleId="Heading8">
    <w:name w:val="heading 8"/>
    <w:basedOn w:val="Heading7"/>
    <w:next w:val="Body8"/>
    <w:qFormat/>
    <w:pPr>
      <w:numPr>
        <w:ilvl w:val="7"/>
        <w:numId w:val="1"/>
      </w:numPr>
      <w:tabs>
        <w:tab w:val="left" w:pos="3060" w:leader="none"/>
        <w:tab w:val="left" w:pos="3510" w:leader="none"/>
      </w:tabs>
      <w:ind w:hanging="432" w:start="3456" w:end="0"/>
      <w:outlineLvl w:val="7"/>
    </w:pPr>
    <w:rPr>
      <w:i/>
    </w:rPr>
  </w:style>
  <w:style w:type="paragraph" w:styleId="Heading9">
    <w:name w:val="heading 9"/>
    <w:basedOn w:val="Heading8"/>
    <w:next w:val="Body9"/>
    <w:qFormat/>
    <w:pPr>
      <w:numPr>
        <w:ilvl w:val="8"/>
        <w:numId w:val="1"/>
      </w:numPr>
      <w:tabs>
        <w:tab w:val="left" w:pos="3060" w:leader="none"/>
        <w:tab w:val="left" w:pos="3510" w:leader="none"/>
        <w:tab w:val="left" w:pos="3960" w:leader="none"/>
      </w:tabs>
      <w:ind w:hanging="432" w:start="3888"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color w:val="000000"/>
      <w:sz w:val="20"/>
    </w:rPr>
  </w:style>
  <w:style w:type="character" w:styleId="WW8Num15z0">
    <w:name w:val="WW8Num15z0"/>
    <w:qFormat/>
    <w:rPr>
      <w:rFonts w:ascii="Symbol" w:hAnsi="Symbol" w:cs="Symbol"/>
      <w:color w:val="000000"/>
      <w:sz w:val="20"/>
    </w:rPr>
  </w:style>
  <w:style w:type="character" w:styleId="WW8Num16z0">
    <w:name w:val="WW8Num16z0"/>
    <w:qFormat/>
    <w:rPr>
      <w:rFonts w:ascii="Symbol" w:hAnsi="Symbol" w:cs="Symbol"/>
    </w:rPr>
  </w:style>
  <w:style w:type="character" w:styleId="WW8Num17z0">
    <w:name w:val="WW8Num17z0"/>
    <w:qFormat/>
    <w:rPr>
      <w:rFonts w:ascii="Symbol" w:hAnsi="Symbol" w:cs="Symbol"/>
      <w:color w:val="000000"/>
      <w:sz w:val="20"/>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color w:val="000000"/>
      <w:sz w:val="20"/>
    </w:rPr>
  </w:style>
  <w:style w:type="character" w:styleId="WW8Num20z0">
    <w:name w:val="WW8Num20z0"/>
    <w:qFormat/>
    <w:rPr>
      <w:rFonts w:ascii="Symbol" w:hAnsi="Symbol" w:cs="Symbol"/>
      <w:color w:val="000000"/>
      <w:sz w:val="20"/>
    </w:rPr>
  </w:style>
  <w:style w:type="character" w:styleId="WW8Num21z0">
    <w:name w:val="WW8Num21z0"/>
    <w:qFormat/>
    <w:rPr>
      <w:rFonts w:ascii="Symbol" w:hAnsi="Symbol" w:cs="Symbol"/>
      <w:color w:val="000000"/>
      <w:sz w:val="20"/>
    </w:rPr>
  </w:style>
  <w:style w:type="character" w:styleId="WW8Num22z0">
    <w:name w:val="WW8Num22z0"/>
    <w:qFormat/>
    <w:rPr>
      <w:rFonts w:ascii="Symbol" w:hAnsi="Symbol" w:cs="Symbol"/>
      <w:color w:val="000000"/>
      <w:sz w:val="20"/>
    </w:rPr>
  </w:style>
  <w:style w:type="character" w:styleId="WW8Num23z0">
    <w:name w:val="WW8Num23z0"/>
    <w:qFormat/>
    <w:rPr>
      <w:rFonts w:ascii="Symbol" w:hAnsi="Symbol" w:cs="Symbol"/>
      <w:color w:val="000000"/>
      <w:sz w:val="20"/>
    </w:rPr>
  </w:style>
  <w:style w:type="character" w:styleId="WW8Num24z0">
    <w:name w:val="WW8Num24z0"/>
    <w:qFormat/>
    <w:rPr>
      <w:rFonts w:ascii="Symbol" w:hAnsi="Symbol" w:cs="Symbol"/>
      <w:color w:val="000000"/>
      <w:sz w:val="20"/>
    </w:rPr>
  </w:style>
  <w:style w:type="character" w:styleId="WW8Num25z0">
    <w:name w:val="WW8Num25z0"/>
    <w:qFormat/>
    <w:rPr>
      <w:rFonts w:ascii="Symbol" w:hAnsi="Symbol" w:cs="Symbol"/>
      <w:color w:val="000000"/>
      <w:sz w:val="20"/>
    </w:rPr>
  </w:style>
  <w:style w:type="character" w:styleId="WW8Num26z0">
    <w:name w:val="WW8Num26z0"/>
    <w:qFormat/>
    <w:rPr>
      <w:rFonts w:ascii="Symbol" w:hAnsi="Symbol" w:cs="Symbol"/>
      <w:color w:val="000000"/>
      <w:sz w:val="20"/>
    </w:rPr>
  </w:style>
  <w:style w:type="character" w:styleId="WW8Num28z0">
    <w:name w:val="WW8Num28z0"/>
    <w:qFormat/>
    <w:rPr>
      <w:rFonts w:ascii="Symbol" w:hAnsi="Symbol" w:cs="Symbol"/>
      <w:color w:val="000000"/>
      <w:sz w:val="20"/>
    </w:rPr>
  </w:style>
  <w:style w:type="character" w:styleId="WW8Num29z0">
    <w:name w:val="WW8Num29z0"/>
    <w:qFormat/>
    <w:rPr>
      <w:rFonts w:ascii="Symbol" w:hAnsi="Symbol" w:cs="Symbol"/>
      <w:color w:val="000000"/>
      <w:sz w:val="20"/>
    </w:rPr>
  </w:style>
  <w:style w:type="character" w:styleId="WW8Num30z0">
    <w:name w:val="WW8Num30z0"/>
    <w:qFormat/>
    <w:rPr>
      <w:rFonts w:ascii="Symbol" w:hAnsi="Symbol" w:cs="Symbol"/>
      <w:color w:val="000000"/>
      <w:sz w:val="20"/>
    </w:rPr>
  </w:style>
  <w:style w:type="character" w:styleId="WW8Num31z0">
    <w:name w:val="WW8Num31z0"/>
    <w:qFormat/>
    <w:rPr>
      <w:rFonts w:ascii="Symbol" w:hAnsi="Symbol" w:cs="Symbol"/>
      <w:color w:val="000000"/>
      <w:sz w:val="20"/>
    </w:rPr>
  </w:style>
  <w:style w:type="character" w:styleId="WW8Num32z0">
    <w:name w:val="WW8Num32z0"/>
    <w:qFormat/>
    <w:rPr>
      <w:rFonts w:ascii="Symbol" w:hAnsi="Symbol" w:cs="Symbol"/>
      <w:color w:val="000000"/>
      <w:sz w:val="20"/>
    </w:rPr>
  </w:style>
  <w:style w:type="character" w:styleId="WW8Num33z0">
    <w:name w:val="WW8Num33z0"/>
    <w:qFormat/>
    <w:rPr>
      <w:rFonts w:ascii="Symbol" w:hAnsi="Symbol" w:cs="Symbol"/>
      <w:color w:val="000000"/>
      <w:sz w:val="20"/>
    </w:rPr>
  </w:style>
  <w:style w:type="character" w:styleId="WW8Num34z0">
    <w:name w:val="WW8Num34z0"/>
    <w:qFormat/>
    <w:rPr>
      <w:rFonts w:ascii="Symbol" w:hAnsi="Symbol" w:cs="Symbol"/>
      <w:color w:val="000000"/>
      <w:sz w:val="20"/>
    </w:rPr>
  </w:style>
  <w:style w:type="character" w:styleId="WW8Num36z0">
    <w:name w:val="WW8Num36z0"/>
    <w:qFormat/>
    <w:rPr>
      <w:rFonts w:ascii="Symbol" w:hAnsi="Symbol" w:cs="Symbol"/>
      <w:color w:val="000000"/>
      <w:sz w:val="20"/>
    </w:rPr>
  </w:style>
  <w:style w:type="character" w:styleId="WW8Num37z0">
    <w:name w:val="WW8Num37z0"/>
    <w:qFormat/>
    <w:rPr>
      <w:rFonts w:ascii="Symbol" w:hAnsi="Symbol" w:cs="Symbol"/>
      <w:color w:val="000000"/>
      <w:sz w:val="20"/>
    </w:rPr>
  </w:style>
  <w:style w:type="character" w:styleId="WW8Num38z0">
    <w:name w:val="WW8Num38z0"/>
    <w:qFormat/>
    <w:rPr>
      <w:rFonts w:ascii="Courier New" w:hAnsi="Courier New" w:cs="Courier New"/>
      <w:sz w:val="20"/>
    </w:rPr>
  </w:style>
  <w:style w:type="character" w:styleId="WW8Num39z0">
    <w:name w:val="WW8Num39z0"/>
    <w:qFormat/>
    <w:rPr>
      <w:rFonts w:ascii="Symbol" w:hAnsi="Symbol" w:cs="Symbol"/>
      <w:color w:val="000000"/>
      <w:sz w:val="20"/>
    </w:rPr>
  </w:style>
  <w:style w:type="character" w:styleId="WW8Num40z0">
    <w:name w:val="WW8Num40z0"/>
    <w:qFormat/>
    <w:rPr>
      <w:rFonts w:ascii="Symbol" w:hAnsi="Symbol" w:cs="Symbol"/>
      <w:color w:val="000000"/>
      <w:sz w:val="20"/>
    </w:rPr>
  </w:style>
  <w:style w:type="character" w:styleId="WW8Num41z0">
    <w:name w:val="WW8Num41z0"/>
    <w:qFormat/>
    <w:rPr>
      <w:rFonts w:ascii="Symbol" w:hAnsi="Symbol" w:cs="Symbol"/>
      <w:color w:val="000000"/>
      <w:sz w:val="20"/>
    </w:rPr>
  </w:style>
  <w:style w:type="character" w:styleId="WW8Num42z0">
    <w:name w:val="WW8Num42z0"/>
    <w:qFormat/>
    <w:rPr/>
  </w:style>
  <w:style w:type="character" w:styleId="WW8Num43z0">
    <w:name w:val="WW8Num43z0"/>
    <w:qFormat/>
    <w:rPr>
      <w:rFonts w:ascii="Symbol" w:hAnsi="Symbol" w:cs="Symbol"/>
      <w:color w:val="000000"/>
      <w:sz w:val="20"/>
    </w:rPr>
  </w:style>
  <w:style w:type="character" w:styleId="WW8NumSt2z0">
    <w:name w:val="WW8NumSt2z0"/>
    <w:qFormat/>
    <w:rPr>
      <w:rFonts w:ascii="Symbol" w:hAnsi="Symbol" w:cs="Symbol"/>
      <w:color w:val="000000"/>
      <w:sz w:val="20"/>
    </w:rPr>
  </w:style>
  <w:style w:type="character" w:styleId="WW8NumSt3z0">
    <w:name w:val="WW8NumSt3z0"/>
    <w:qFormat/>
    <w:rPr>
      <w:rFonts w:ascii="Symbol" w:hAnsi="Symbol" w:cs="Symbol"/>
      <w:color w:val="000000"/>
      <w:sz w:val="16"/>
    </w:rPr>
  </w:style>
  <w:style w:type="character" w:styleId="WW8NumSt4z0">
    <w:name w:val="WW8NumSt4z0"/>
    <w:qFormat/>
    <w:rPr>
      <w:rFonts w:ascii="Symbol" w:hAnsi="Symbol" w:cs="Symbol"/>
      <w:sz w:val="16"/>
    </w:rPr>
  </w:style>
  <w:style w:type="character" w:styleId="WW8NumSt5z0">
    <w:name w:val="WW8NumSt5z0"/>
    <w:qFormat/>
    <w:rPr>
      <w:rFonts w:ascii="Symbol" w:hAnsi="Symbol" w:cs="Symbol"/>
    </w:rPr>
  </w:style>
  <w:style w:type="character" w:styleId="WW8NumSt35z0">
    <w:name w:val="WW8NumSt35z0"/>
    <w:qFormat/>
    <w:rPr>
      <w:rFonts w:ascii="Symbol" w:hAnsi="Symbol" w:cs="Symbol"/>
      <w:color w:val="000000"/>
      <w:sz w:val="20"/>
    </w:rPr>
  </w:style>
  <w:style w:type="character" w:styleId="WW8NumSt48z0">
    <w:name w:val="WW8NumSt48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Arial" w:hAnsi="Arial" w:cs="Arial"/>
      <w:b/>
      <w:strike w:val="false"/>
      <w:dstrike w:val="false"/>
      <w:color w:val="auto"/>
      <w:spacing w:val="0"/>
      <w:w w:val="100"/>
      <w:kern w:val="0"/>
      <w:position w:val="0"/>
      <w:sz w:val="24"/>
      <w:sz w:val="24"/>
      <w:vertAlign w:val="baseline"/>
    </w:rPr>
  </w:style>
  <w:style w:type="character" w:styleId="PageNumber">
    <w:name w:val="page number"/>
    <w:basedOn w:val="DefaultParagraphFont"/>
    <w:rPr/>
  </w:style>
  <w:style w:type="character" w:styleId="LineNumber">
    <w:name w:val="line number"/>
    <w:basedOn w:val="DefaultParagraphFont"/>
    <w:rPr>
      <w:rFonts w:ascii="Arial" w:hAnsi="Arial" w:cs="Arial"/>
      <w:strike w:val="false"/>
      <w:dstrike w:val="false"/>
      <w:color w:val="auto"/>
      <w:position w:val="0"/>
      <w:sz w:val="20"/>
      <w:sz w:val="20"/>
      <w:vertAlign w:val="baselin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2">
    <w:name w:val="Body 2"/>
    <w:basedOn w:val="Normal"/>
    <w:qFormat/>
    <w:pPr>
      <w:ind w:firstLine="432" w:start="864" w:end="0"/>
    </w:pPr>
    <w:rPr>
      <w:color w:val="000000"/>
    </w:rPr>
  </w:style>
  <w:style w:type="paragraph" w:styleId="Body3">
    <w:name w:val="Body 3"/>
    <w:basedOn w:val="Body2"/>
    <w:qFormat/>
    <w:pPr>
      <w:ind w:firstLine="432" w:start="1296" w:end="0"/>
    </w:pPr>
    <w:rPr/>
  </w:style>
  <w:style w:type="paragraph" w:styleId="Body4">
    <w:name w:val="Body 4"/>
    <w:basedOn w:val="Body3"/>
    <w:qFormat/>
    <w:pPr>
      <w:ind w:firstLine="432" w:start="1728" w:end="0"/>
    </w:pPr>
    <w:rPr/>
  </w:style>
  <w:style w:type="paragraph" w:styleId="Body5">
    <w:name w:val="Body 5"/>
    <w:basedOn w:val="Body4"/>
    <w:qFormat/>
    <w:pPr>
      <w:ind w:firstLine="432"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0" w:end="0"/>
    </w:pPr>
    <w:rPr/>
  </w:style>
  <w:style w:type="paragraph" w:styleId="QNum">
    <w:name w:val="QNum"/>
    <w:basedOn w:val="Normal"/>
    <w:qFormat/>
    <w:pPr>
      <w:tabs>
        <w:tab w:val="clear" w:pos="720"/>
        <w:tab w:val="left" w:pos="1440" w:leader="none"/>
        <w:tab w:val="left" w:pos="2160" w:leader="none"/>
        <w:tab w:val="left" w:pos="2880" w:leader="none"/>
      </w:tabs>
      <w:ind w:hanging="864" w:start="864" w:end="0"/>
    </w:pPr>
    <w:rPr>
      <w:color w:val="000000"/>
    </w:rPr>
  </w:style>
  <w:style w:type="paragraph" w:styleId="Bullet0">
    <w:name w:val="Bullet 0"/>
    <w:basedOn w:val="Normal"/>
    <w:qFormat/>
    <w:pPr>
      <w:numPr>
        <w:ilvl w:val="0"/>
        <w:numId w:val="3"/>
      </w:numPr>
      <w:spacing w:before="0" w:after="120"/>
      <w:ind w:firstLine="432" w:start="432" w:end="0"/>
    </w:pPr>
    <w:rPr/>
  </w:style>
  <w:style w:type="paragraph" w:styleId="Bullet1">
    <w:name w:val="Bullet 1"/>
    <w:basedOn w:val="Bullet0"/>
    <w:qFormat/>
    <w:pPr>
      <w:ind w:firstLine="432" w:start="864" w:end="0"/>
    </w:pPr>
    <w:rPr/>
  </w:style>
  <w:style w:type="paragraph" w:styleId="Bullet2">
    <w:name w:val="Bullet 2"/>
    <w:basedOn w:val="Bullet1"/>
    <w:qFormat/>
    <w:pPr>
      <w:ind w:firstLine="432" w:start="1296" w:end="0"/>
    </w:pPr>
    <w:rPr/>
  </w:style>
  <w:style w:type="paragraph" w:styleId="Bullet3">
    <w:name w:val="Bullet 3"/>
    <w:basedOn w:val="Bullet2"/>
    <w:qFormat/>
    <w:pPr>
      <w:numPr>
        <w:ilvl w:val="0"/>
        <w:numId w:val="5"/>
      </w:numPr>
      <w:ind w:firstLine="432" w:start="1728" w:end="0"/>
    </w:pPr>
    <w:rPr/>
  </w:style>
  <w:style w:type="paragraph" w:styleId="Bullet4">
    <w:name w:val="Bullet 4"/>
    <w:basedOn w:val="Bullet3"/>
    <w:qFormat/>
    <w:pPr>
      <w:numPr>
        <w:ilvl w:val="0"/>
        <w:numId w:val="4"/>
      </w:numPr>
      <w:ind w:firstLine="432" w:start="2160" w:end="0"/>
    </w:pPr>
    <w:rPr/>
  </w:style>
  <w:style w:type="paragraph" w:styleId="Bullet5">
    <w:name w:val="Bullet 5"/>
    <w:basedOn w:val="Bullet4"/>
    <w:qFormat/>
    <w:pPr>
      <w:numPr>
        <w:ilvl w:val="0"/>
        <w:numId w:val="2"/>
      </w:numPr>
      <w:ind w:firstLine="432" w:start="2592" w:end="0"/>
    </w:pPr>
    <w:rPr/>
  </w:style>
  <w:style w:type="paragraph" w:styleId="BodyTextIndent">
    <w:name w:val="Body Text Indent"/>
    <w:basedOn w:val="Normal"/>
    <w:pPr>
      <w:ind w:hanging="450" w:start="450" w:end="0"/>
    </w:pPr>
    <w:rPr/>
  </w:style>
  <w:style w:type="paragraph" w:styleId="FootnoteText">
    <w:name w:val="footnote text"/>
    <w:basedOn w:val="Normal"/>
    <w:pPr>
      <w:keepLines/>
      <w:spacing w:lineRule="exact" w:line="240" w:before="60" w:after="60"/>
      <w:ind w:hanging="720" w:start="720" w:end="0"/>
    </w:pPr>
    <w:rPr/>
  </w:style>
  <w:style w:type="paragraph" w:styleId="TOC1">
    <w:name w:val="toc 1"/>
    <w:basedOn w:val="Normal"/>
    <w:next w:val="Normal"/>
    <w:pPr>
      <w:tabs>
        <w:tab w:val="clear" w:pos="720"/>
        <w:tab w:val="right" w:pos="9000" w:leader="dot"/>
      </w:tabs>
      <w:spacing w:lineRule="atLeast" w:line="220" w:before="0" w:after="220"/>
      <w:ind w:hanging="360" w:start="360" w:end="720"/>
    </w:pPr>
    <w:rPr>
      <w:color w:val="000000"/>
    </w:rPr>
  </w:style>
  <w:style w:type="paragraph" w:styleId="TOC2">
    <w:name w:val="toc 2"/>
    <w:basedOn w:val="Normal"/>
    <w:next w:val="Normal"/>
    <w:pPr>
      <w:tabs>
        <w:tab w:val="clear" w:pos="720"/>
        <w:tab w:val="right" w:pos="9000" w:leader="dot"/>
      </w:tabs>
      <w:spacing w:lineRule="atLeast" w:line="220" w:before="0" w:after="220"/>
      <w:ind w:hanging="360" w:start="720" w:end="720"/>
    </w:pPr>
    <w:rPr>
      <w:color w:val="000000"/>
    </w:rPr>
  </w:style>
  <w:style w:type="paragraph" w:styleId="TOC3">
    <w:name w:val="toc 3"/>
    <w:basedOn w:val="TOC2"/>
    <w:next w:val="Normal"/>
    <w:pPr>
      <w:ind w:hanging="360" w:start="1080" w:end="720"/>
    </w:pPr>
    <w:rPr/>
  </w:style>
  <w:style w:type="paragraph" w:styleId="TOC4">
    <w:name w:val="toc 4"/>
    <w:basedOn w:val="TOC3"/>
    <w:next w:val="Normal"/>
    <w:pPr>
      <w:tabs>
        <w:tab w:val="right" w:pos="9000" w:leader="dot"/>
        <w:tab w:val="right" w:pos="9360" w:leader="dot"/>
      </w:tabs>
      <w:ind w:hanging="360" w:start="1440" w:end="720"/>
    </w:pPr>
    <w:rPr/>
  </w:style>
  <w:style w:type="paragraph" w:styleId="TOC5">
    <w:name w:val="toc 5"/>
    <w:basedOn w:val="TOC4"/>
    <w:next w:val="Normal"/>
    <w:pPr>
      <w:tabs>
        <w:tab w:val="right" w:pos="9000" w:leader="dot"/>
        <w:tab w:val="right" w:pos="9360" w:leader="none"/>
      </w:tabs>
      <w:ind w:hanging="360" w:start="965" w:end="720"/>
    </w:pPr>
    <w:rPr/>
  </w:style>
  <w:style w:type="paragraph" w:styleId="TableCaption">
    <w:name w:val="Table Caption"/>
    <w:basedOn w:val="Body2"/>
    <w:qFormat/>
    <w:pPr>
      <w:keepNext w:val="true"/>
      <w:keepLines/>
      <w:spacing w:lineRule="atLeast" w:line="240" w:before="440" w:after="220"/>
      <w:ind w:hanging="0" w:start="0" w:end="0"/>
      <w:jc w:val="center"/>
    </w:pPr>
    <w:rPr>
      <w:b/>
      <w:caps/>
      <w:sz w:val="20"/>
    </w:rPr>
  </w:style>
  <w:style w:type="paragraph" w:styleId="Table">
    <w:name w:val="Table"/>
    <w:basedOn w:val="Body2"/>
    <w:qFormat/>
    <w:pPr>
      <w:keepNext w:val="true"/>
      <w:keepLines/>
      <w:spacing w:lineRule="auto" w:line="240"/>
      <w:ind w:hanging="0" w:start="0" w:end="0"/>
    </w:pPr>
    <w:rPr>
      <w:sz w:val="20"/>
    </w:rPr>
  </w:style>
  <w:style w:type="paragraph" w:styleId="Table-FirstRow">
    <w:name w:val="Table - First Row"/>
    <w:basedOn w:val="Table"/>
    <w:qFormat/>
    <w:pPr>
      <w:spacing w:before="120" w:after="0"/>
    </w:pPr>
    <w:rPr/>
  </w:style>
  <w:style w:type="paragraph" w:styleId="LineNumber-Testimony">
    <w:name w:val="Line Number - Testimony"/>
    <w:qFormat/>
    <w:pPr>
      <w:widowControl/>
      <w:bidi w:val="0"/>
      <w:spacing w:lineRule="exact" w:line="240"/>
      <w:jc w:val="end"/>
    </w:pPr>
    <w:rPr>
      <w:rFonts w:ascii="Arial" w:hAnsi="Arial" w:eastAsia="Times New Roman" w:cs="Arial"/>
      <w:color w:val="auto"/>
      <w:sz w:val="20"/>
      <w:szCs w:val="20"/>
      <w:lang w:val="en-US" w:bidi="ar-SA" w:eastAsia="zh-CN"/>
    </w:rPr>
  </w:style>
  <w:style w:type="paragraph" w:styleId="ANum">
    <w:name w:val="ANum"/>
    <w:basedOn w:val="Normal"/>
    <w:qFormat/>
    <w:pPr>
      <w:tabs>
        <w:tab w:val="clear" w:pos="720"/>
        <w:tab w:val="left" w:pos="1440" w:leader="none"/>
        <w:tab w:val="left" w:pos="2160" w:leader="none"/>
        <w:tab w:val="left" w:pos="2880" w:leader="none"/>
      </w:tabs>
      <w:ind w:hanging="864" w:start="864" w:end="0"/>
    </w:pPr>
    <w:rPr>
      <w:color w:val="000000"/>
    </w:rPr>
  </w:style>
  <w:style w:type="paragraph" w:styleId="Quotation2">
    <w:name w:val="Quotation 2"/>
    <w:basedOn w:val="Body2"/>
    <w:qFormat/>
    <w:pPr>
      <w:spacing w:lineRule="exact" w:line="240" w:before="120" w:after="120"/>
      <w:ind w:hanging="0" w:start="1296" w:end="0"/>
    </w:pPr>
    <w:rPr/>
  </w:style>
  <w:style w:type="paragraph" w:styleId="Quotation3">
    <w:name w:val="Quotation 3"/>
    <w:basedOn w:val="Quotation2"/>
    <w:qFormat/>
    <w:pPr>
      <w:ind w:hanging="0" w:start="1728" w:end="0"/>
    </w:pPr>
    <w:rPr/>
  </w:style>
  <w:style w:type="paragraph" w:styleId="Quotation4">
    <w:name w:val="Quotation 4"/>
    <w:basedOn w:val="Quotation3"/>
    <w:qFormat/>
    <w:pPr>
      <w:ind w:hanging="0" w:start="2160" w:end="0"/>
    </w:pPr>
    <w:rPr/>
  </w:style>
  <w:style w:type="paragraph" w:styleId="TOCTitle">
    <w:name w:val="TOC Title"/>
    <w:basedOn w:val="Normal"/>
    <w:qFormat/>
    <w:pPr>
      <w:spacing w:lineRule="atLeast" w:line="240" w:before="240" w:after="240"/>
      <w:ind w:hanging="0" w:start="0" w:end="0"/>
      <w:jc w:val="center"/>
    </w:pPr>
    <w:rPr>
      <w:caps/>
    </w:rPr>
  </w:style>
  <w:style w:type="paragraph" w:styleId="TOC6">
    <w:name w:val="toc 6"/>
    <w:basedOn w:val="TOC5"/>
    <w:next w:val="Normal"/>
    <w:pPr>
      <w:ind w:hanging="360" w:start="1195" w:end="720"/>
    </w:pPr>
    <w:rPr/>
  </w:style>
  <w:style w:type="paragraph" w:styleId="TOC7">
    <w:name w:val="toc 7"/>
    <w:basedOn w:val="TOC6"/>
    <w:next w:val="Normal"/>
    <w:pPr>
      <w:ind w:hanging="360" w:start="1440" w:end="720"/>
    </w:pPr>
    <w:rPr/>
  </w:style>
  <w:style w:type="paragraph" w:styleId="TOC8">
    <w:name w:val="toc 8"/>
    <w:basedOn w:val="TOC7"/>
    <w:next w:val="Normal"/>
    <w:pPr>
      <w:ind w:hanging="360" w:start="1685" w:end="720"/>
    </w:pPr>
    <w:rPr/>
  </w:style>
  <w:style w:type="paragraph" w:styleId="TOC9">
    <w:name w:val="toc 9"/>
    <w:basedOn w:val="TOC8"/>
    <w:next w:val="Normal"/>
    <w:pPr>
      <w:ind w:hanging="360" w:start="1915" w:end="720"/>
    </w:pPr>
    <w:rPr/>
  </w:style>
  <w:style w:type="paragraph" w:styleId="Quotation5">
    <w:name w:val="Quotation 5"/>
    <w:basedOn w:val="Quotation4"/>
    <w:qFormat/>
    <w:pPr>
      <w:ind w:hanging="0" w:start="2592" w:end="0"/>
    </w:pPr>
    <w:rPr/>
  </w:style>
  <w:style w:type="paragraph" w:styleId="Footer">
    <w:name w:val="footer"/>
    <w:basedOn w:val="Normal"/>
    <w:pPr>
      <w:ind w:hanging="0" w:start="0" w:end="0"/>
    </w:pPr>
    <w:rPr/>
  </w:style>
  <w:style w:type="paragraph" w:styleId="BodyTextIndent2">
    <w:name w:val="Body Text Indent 2"/>
    <w:basedOn w:val="Normal"/>
    <w:qFormat/>
    <w:pPr>
      <w:ind w:firstLine="450" w:start="720" w:end="0"/>
    </w:pPr>
    <w:rPr/>
  </w:style>
  <w:style w:type="paragraph" w:styleId="Body6">
    <w:name w:val="Body 6"/>
    <w:basedOn w:val="Body5"/>
    <w:qFormat/>
    <w:pPr>
      <w:ind w:firstLine="432" w:start="2592" w:end="0"/>
    </w:pPr>
    <w:rPr/>
  </w:style>
  <w:style w:type="paragraph" w:styleId="Bullet6">
    <w:name w:val="Bullet 6"/>
    <w:basedOn w:val="Bullet5"/>
    <w:qFormat/>
    <w:pPr>
      <w:ind w:firstLine="432" w:start="3024" w:end="0"/>
    </w:pPr>
    <w:rPr/>
  </w:style>
  <w:style w:type="paragraph" w:styleId="Quotation6">
    <w:name w:val="Quotation 6"/>
    <w:basedOn w:val="Quotation5"/>
    <w:qFormat/>
    <w:pPr>
      <w:ind w:hanging="0" w:start="3024" w:end="0"/>
    </w:pPr>
    <w:rPr/>
  </w:style>
  <w:style w:type="paragraph" w:styleId="Body7">
    <w:name w:val="Body 7"/>
    <w:basedOn w:val="Body6"/>
    <w:qFormat/>
    <w:pPr>
      <w:ind w:firstLine="432" w:start="3024" w:end="0"/>
    </w:pPr>
    <w:rPr/>
  </w:style>
  <w:style w:type="paragraph" w:styleId="Bullet7">
    <w:name w:val="Bullet 7"/>
    <w:basedOn w:val="Bullet6"/>
    <w:qFormat/>
    <w:pPr>
      <w:ind w:firstLine="432" w:start="3456" w:end="0"/>
    </w:pPr>
    <w:rPr/>
  </w:style>
  <w:style w:type="paragraph" w:styleId="Quotation7">
    <w:name w:val="Quotation 7"/>
    <w:basedOn w:val="Quotation6"/>
    <w:qFormat/>
    <w:pPr>
      <w:ind w:hanging="0" w:start="3456" w:end="0"/>
    </w:pPr>
    <w:rPr/>
  </w:style>
  <w:style w:type="paragraph" w:styleId="Body8">
    <w:name w:val="Body 8"/>
    <w:basedOn w:val="Body7"/>
    <w:qFormat/>
    <w:pPr>
      <w:ind w:firstLine="432" w:start="3456" w:end="0"/>
    </w:pPr>
    <w:rPr/>
  </w:style>
  <w:style w:type="paragraph" w:styleId="Bullet8">
    <w:name w:val="Bullet 8"/>
    <w:basedOn w:val="Bullet7"/>
    <w:qFormat/>
    <w:pPr>
      <w:ind w:firstLine="432" w:start="3888" w:end="0"/>
    </w:pPr>
    <w:rPr/>
  </w:style>
  <w:style w:type="paragraph" w:styleId="Quotation8">
    <w:name w:val="Quotation 8"/>
    <w:basedOn w:val="Quotation7"/>
    <w:qFormat/>
    <w:pPr>
      <w:ind w:hanging="0" w:start="3888" w:end="0"/>
    </w:pPr>
    <w:rPr/>
  </w:style>
  <w:style w:type="paragraph" w:styleId="Body9">
    <w:name w:val="Body 9"/>
    <w:basedOn w:val="Body8"/>
    <w:qFormat/>
    <w:pPr>
      <w:ind w:firstLine="432" w:start="3888" w:end="0"/>
    </w:pPr>
    <w:rPr/>
  </w:style>
  <w:style w:type="paragraph" w:styleId="Bullet9">
    <w:name w:val="Bullet 9"/>
    <w:basedOn w:val="Bullet8"/>
    <w:qFormat/>
    <w:pPr>
      <w:ind w:firstLine="432" w:start="4320" w:end="0"/>
    </w:pPr>
    <w:rPr/>
  </w:style>
  <w:style w:type="paragraph" w:styleId="Body0">
    <w:name w:val="Body 0"/>
    <w:basedOn w:val="Normal"/>
    <w:qFormat/>
    <w:pPr/>
    <w:rPr/>
  </w:style>
  <w:style w:type="paragraph" w:styleId="Body1">
    <w:name w:val="Body 1"/>
    <w:basedOn w:val="Body0"/>
    <w:qFormat/>
    <w:pPr>
      <w:ind w:firstLine="432" w:start="432" w:end="0"/>
    </w:pPr>
    <w:rPr/>
  </w:style>
  <w:style w:type="paragraph" w:styleId="Quotation0">
    <w:name w:val="Quotation 0"/>
    <w:basedOn w:val="Normal"/>
    <w:qFormat/>
    <w:pPr>
      <w:spacing w:lineRule="exact" w:line="240" w:before="120" w:after="120"/>
      <w:ind w:hanging="0" w:start="288" w:end="0"/>
    </w:pPr>
    <w:rPr/>
  </w:style>
  <w:style w:type="paragraph" w:styleId="Quotation1">
    <w:name w:val="Quotation 1"/>
    <w:basedOn w:val="Quotation0"/>
    <w:qFormat/>
    <w:pPr>
      <w:ind w:hanging="0" w:start="864" w:end="0"/>
    </w:pPr>
    <w:rPr/>
  </w:style>
  <w:style w:type="paragraph" w:styleId="Table-LastRow">
    <w:name w:val="Table - Last Row"/>
    <w:basedOn w:val="Table"/>
    <w:qFormat/>
    <w:pPr>
      <w:keepNext w:val="false"/>
      <w:spacing w:before="120" w:after="0"/>
    </w:pPr>
    <w:rPr/>
  </w:style>
  <w:style w:type="paragraph" w:styleId="CoverTitle">
    <w:name w:val="Cover Title"/>
    <w:qFormat/>
    <w:pPr>
      <w:widowControl/>
      <w:bidi w:val="0"/>
      <w:spacing w:lineRule="exact" w:line="560" w:before="3000" w:after="0"/>
      <w:jc w:val="center"/>
    </w:pPr>
    <w:rPr>
      <w:rFonts w:ascii="Arial" w:hAnsi="Arial" w:eastAsia="Times New Roman" w:cs="Arial"/>
      <w:b/>
      <w:color w:val="000000"/>
      <w:spacing w:val="10"/>
      <w:sz w:val="28"/>
      <w:szCs w:val="20"/>
      <w:lang w:val="en-US" w:bidi="ar-SA" w:eastAsia="zh-CN"/>
    </w:rPr>
  </w:style>
  <w:style w:type="paragraph" w:styleId="TITLE1">
    <w:name w:val="TITLE 1"/>
    <w:basedOn w:val="Normal"/>
    <w:qFormat/>
    <w:pPr>
      <w:ind w:hanging="0" w:start="0" w:end="0"/>
      <w:jc w:val="center"/>
    </w:pPr>
    <w:rPr>
      <w:b/>
      <w:sz w:val="28"/>
    </w:rPr>
  </w:style>
  <w:style w:type="paragraph" w:styleId="TITLE2">
    <w:name w:val="TITLE 2"/>
    <w:basedOn w:val="TITLE1"/>
    <w:qFormat/>
    <w:pPr/>
    <w:rPr/>
  </w:style>
  <w:style w:type="paragraph" w:styleId="TITLE3">
    <w:name w:val="TITLE 3"/>
    <w:basedOn w:val="TITLE2"/>
    <w:next w:val="Heading1"/>
    <w:qFormat/>
    <w:pPr>
      <w:spacing w:before="0" w:after="360"/>
    </w:pPr>
    <w:rPr/>
  </w:style>
  <w:style w:type="paragraph" w:styleId="EndTableTitle">
    <w:name w:val="End Table Title"/>
    <w:basedOn w:val="TITLE3"/>
    <w:qFormat/>
    <w:pPr>
      <w:spacing w:lineRule="auto" w:line="240" w:before="0" w:after="240"/>
    </w:pPr>
    <w:rPr>
      <w:b w:val="false"/>
      <w:sz w:val="24"/>
    </w:rPr>
  </w:style>
  <w:style w:type="paragraph" w:styleId="Quotation9">
    <w:name w:val="Quotation 9"/>
    <w:basedOn w:val="Quotation8"/>
    <w:qFormat/>
    <w:pPr>
      <w:ind w:hanging="0" w:start="4320" w:end="0"/>
    </w:pPr>
    <w:rPr/>
  </w:style>
  <w:style w:type="paragraph" w:styleId="QA-text">
    <w:name w:val="QA-text"/>
    <w:basedOn w:val="Normal"/>
    <w:qFormat/>
    <w:pPr>
      <w:ind w:firstLine="432" w:start="864" w:end="0"/>
    </w:pPr>
    <w:rPr>
      <w:color w:val="000000"/>
    </w:rPr>
  </w:style>
  <w:style w:type="paragraph" w:styleId="Body0-list">
    <w:name w:val="Body 0 - list"/>
    <w:basedOn w:val="BodyTextIndent"/>
    <w:qFormat/>
    <w:pPr>
      <w:ind w:hanging="446" w:start="446" w:end="0"/>
    </w:pPr>
    <w:rPr/>
  </w:style>
  <w:style w:type="paragraph" w:styleId="Body0-noindent">
    <w:name w:val="Body 0 - no indent"/>
    <w:basedOn w:val="BodyText"/>
    <w:qFormat/>
    <w:pPr/>
    <w:rPr/>
  </w:style>
  <w:style w:type="paragraph" w:styleId="Body1-list">
    <w:name w:val="Body 1 - list"/>
    <w:basedOn w:val="Body0-list"/>
    <w:qFormat/>
    <w:pPr>
      <w:ind w:hanging="432" w:start="864" w:end="0"/>
    </w:pPr>
    <w:rPr/>
  </w:style>
  <w:style w:type="paragraph" w:styleId="Body1-noindent">
    <w:name w:val="Body 1 - no indent"/>
    <w:basedOn w:val="Body0-noindent"/>
    <w:qFormat/>
    <w:pPr>
      <w:ind w:hanging="0" w:start="432" w:end="0"/>
    </w:pPr>
    <w:rPr/>
  </w:style>
  <w:style w:type="paragraph" w:styleId="Body2-list">
    <w:name w:val="Body 2 - list"/>
    <w:basedOn w:val="Body1-list"/>
    <w:qFormat/>
    <w:pPr>
      <w:ind w:hanging="432" w:start="1296" w:end="0"/>
    </w:pPr>
    <w:rPr/>
  </w:style>
  <w:style w:type="paragraph" w:styleId="Body2-noindent">
    <w:name w:val="Body 2 - no indent"/>
    <w:basedOn w:val="Body1-noindent"/>
    <w:qFormat/>
    <w:pPr>
      <w:ind w:hanging="0" w:start="864" w:end="0"/>
    </w:pPr>
    <w:rPr/>
  </w:style>
  <w:style w:type="paragraph" w:styleId="Body3-list">
    <w:name w:val="Body 3 - list"/>
    <w:basedOn w:val="Body2-list"/>
    <w:qFormat/>
    <w:pPr>
      <w:ind w:hanging="432" w:start="1728" w:end="0"/>
    </w:pPr>
    <w:rPr/>
  </w:style>
  <w:style w:type="paragraph" w:styleId="Body3-noindent">
    <w:name w:val="Body 3 - no indent"/>
    <w:basedOn w:val="Body2-noindent"/>
    <w:qFormat/>
    <w:pPr>
      <w:ind w:hanging="0" w:start="1296" w:end="0"/>
    </w:pPr>
    <w:rPr/>
  </w:style>
  <w:style w:type="paragraph" w:styleId="QABodyText">
    <w:name w:val="Q&amp;A Body Text"/>
    <w:basedOn w:val="QA-text"/>
    <w:qFormat/>
    <w:pPr/>
    <w:rPr/>
  </w:style>
  <w:style w:type="paragraph" w:styleId="Body4-list">
    <w:name w:val="Body 4 - list"/>
    <w:basedOn w:val="Body3-list"/>
    <w:qFormat/>
    <w:pPr>
      <w:ind w:hanging="432" w:start="2160" w:end="0"/>
    </w:pPr>
    <w:rPr/>
  </w:style>
  <w:style w:type="paragraph" w:styleId="Body4-noindent">
    <w:name w:val="Body 4 - no indent"/>
    <w:basedOn w:val="Body3-noindent"/>
    <w:qFormat/>
    <w:pPr>
      <w:ind w:hanging="0" w:start="1728" w:end="0"/>
    </w:pPr>
    <w:rPr/>
  </w:style>
  <w:style w:type="paragraph" w:styleId="Body5-list">
    <w:name w:val="Body 5 - list"/>
    <w:basedOn w:val="Body4-list"/>
    <w:qFormat/>
    <w:pPr>
      <w:ind w:hanging="432" w:start="2592" w:end="0"/>
    </w:pPr>
    <w:rPr/>
  </w:style>
  <w:style w:type="paragraph" w:styleId="Body5-noindent">
    <w:name w:val="Body 5 - no indent"/>
    <w:basedOn w:val="Body4-noindent"/>
    <w:qFormat/>
    <w:pPr>
      <w:ind w:hanging="0" w:start="2160" w:end="0"/>
    </w:pPr>
    <w:rPr/>
  </w:style>
  <w:style w:type="paragraph" w:styleId="Body6-list">
    <w:name w:val="Body 6 - list"/>
    <w:basedOn w:val="Body5-list"/>
    <w:qFormat/>
    <w:pPr>
      <w:ind w:hanging="432" w:start="3024" w:end="0"/>
    </w:pPr>
    <w:rPr/>
  </w:style>
  <w:style w:type="paragraph" w:styleId="Body6-noindent">
    <w:name w:val="Body 6 - no indent"/>
    <w:basedOn w:val="Body5-noindent"/>
    <w:qFormat/>
    <w:pPr>
      <w:ind w:hanging="0" w:start="2592" w:end="0"/>
    </w:pPr>
    <w:rPr/>
  </w:style>
  <w:style w:type="paragraph" w:styleId="Body7-list">
    <w:name w:val="Body 7 - list"/>
    <w:basedOn w:val="Body6-list"/>
    <w:qFormat/>
    <w:pPr>
      <w:ind w:hanging="432" w:start="3456" w:end="0"/>
    </w:pPr>
    <w:rPr/>
  </w:style>
  <w:style w:type="paragraph" w:styleId="Body7-noindent">
    <w:name w:val="Body 7 - no indent"/>
    <w:basedOn w:val="Body6-noindent"/>
    <w:qFormat/>
    <w:pPr>
      <w:ind w:hanging="0" w:start="3024" w:end="0"/>
    </w:pPr>
    <w:rPr/>
  </w:style>
  <w:style w:type="paragraph" w:styleId="Body8-list">
    <w:name w:val="Body 8 - list"/>
    <w:basedOn w:val="Body7-list"/>
    <w:qFormat/>
    <w:pPr>
      <w:ind w:hanging="432" w:start="3888" w:end="0"/>
    </w:pPr>
    <w:rPr/>
  </w:style>
  <w:style w:type="paragraph" w:styleId="Body8-noindent">
    <w:name w:val="Body 8 - no indent"/>
    <w:basedOn w:val="Body7-noindent"/>
    <w:qFormat/>
    <w:pPr>
      <w:ind w:hanging="0" w:start="3456" w:end="0"/>
    </w:pPr>
    <w:rPr/>
  </w:style>
  <w:style w:type="paragraph" w:styleId="Body9-list">
    <w:name w:val="Body 9 - list"/>
    <w:basedOn w:val="Normal"/>
    <w:qFormat/>
    <w:pPr>
      <w:ind w:hanging="432" w:start="4320" w:end="0"/>
    </w:pPr>
    <w:rPr/>
  </w:style>
  <w:style w:type="paragraph" w:styleId="Body9-noindent">
    <w:name w:val="Body 9 - no indent"/>
    <w:basedOn w:val="Normal"/>
    <w:qFormat/>
    <w:pPr>
      <w:ind w:hanging="0" w:start="3888" w:end="0"/>
    </w:pPr>
    <w:rPr/>
  </w:style>
  <w:style w:type="paragraph" w:styleId="QA-bullet">
    <w:name w:val="QA-bullet"/>
    <w:basedOn w:val="Bullet2"/>
    <w:qFormat/>
    <w:pPr/>
    <w:rPr/>
  </w:style>
  <w:style w:type="paragraph" w:styleId="QA-bullet2">
    <w:name w:val="QA-bullet2"/>
    <w:basedOn w:val="Bullet3"/>
    <w:qFormat/>
    <w:pPr/>
    <w:rPr/>
  </w:style>
  <w:style w:type="paragraph" w:styleId="TableFootnote">
    <w:name w:val="Table Footnote"/>
    <w:basedOn w:val="FootnoteText"/>
    <w:qFormat/>
    <w:pPr/>
    <w:rPr/>
  </w:style>
  <w:style w:type="paragraph" w:styleId="Bullet0-indent">
    <w:name w:val="Bullet 0 - indent"/>
    <w:basedOn w:val="Body1"/>
    <w:qFormat/>
    <w:pPr>
      <w:spacing w:before="0" w:after="120"/>
    </w:pPr>
    <w:rPr/>
  </w:style>
  <w:style w:type="paragraph" w:styleId="TableFootnote2">
    <w:name w:val="Table Footnote2"/>
    <w:basedOn w:val="BodyTextIndent2"/>
    <w:qFormat/>
    <w:pPr>
      <w:spacing w:lineRule="exact" w:line="240" w:before="0" w:after="60"/>
      <w:ind w:firstLine="432" w:start="720" w:end="0"/>
    </w:pPr>
    <w:rPr/>
  </w:style>
  <w:style w:type="paragraph" w:styleId="FootnoteText2">
    <w:name w:val="Footnote Text2"/>
    <w:basedOn w:val="TableFootnote2"/>
    <w:qFormat/>
    <w:pPr>
      <w:keepLines/>
      <w:spacing w:before="60" w:after="60"/>
      <w:ind w:hanging="0" w:start="720" w:end="0"/>
    </w:pPr>
    <w:rPr/>
  </w:style>
  <w:style w:type="paragraph" w:styleId="EndTableFootnote">
    <w:name w:val="End Table Footnote"/>
    <w:basedOn w:val="TableFootnote"/>
    <w:qFormat/>
    <w:pPr>
      <w:spacing w:lineRule="auto" w:line="240" w:before="0" w:after="0"/>
    </w:pPr>
    <w:rPr>
      <w:sz w:val="20"/>
    </w:rPr>
  </w:style>
  <w:style w:type="paragraph" w:styleId="EndTableFoot2">
    <w:name w:val="End Table Foot2"/>
    <w:basedOn w:val="TableFootnote2"/>
    <w:qFormat/>
    <w:pPr>
      <w:keepLines/>
      <w:spacing w:before="60" w:after="60"/>
      <w:ind w:hanging="0" w:start="720" w:end="0"/>
    </w:pPr>
    <w:rPr/>
  </w:style>
  <w:style w:type="paragraph" w:styleId="Bullet1-indent">
    <w:name w:val="Bullet 1 - indent"/>
    <w:basedOn w:val="Body2"/>
    <w:qFormat/>
    <w:pPr>
      <w:spacing w:before="0" w:after="120"/>
    </w:pPr>
    <w:rPr/>
  </w:style>
  <w:style w:type="paragraph" w:styleId="Bullet2-indent">
    <w:name w:val="Bullet 2 - indent"/>
    <w:basedOn w:val="Body3"/>
    <w:qFormat/>
    <w:pPr>
      <w:spacing w:before="0" w:after="120"/>
    </w:pPr>
    <w:rPr/>
  </w:style>
  <w:style w:type="paragraph" w:styleId="Bullet3-indent">
    <w:name w:val="Bullet 3 - indent"/>
    <w:basedOn w:val="Body4"/>
    <w:qFormat/>
    <w:pPr>
      <w:spacing w:before="0" w:after="120"/>
    </w:pPr>
    <w:rPr/>
  </w:style>
  <w:style w:type="paragraph" w:styleId="Bullet4-indent">
    <w:name w:val="Bullet 4 - indent"/>
    <w:basedOn w:val="Body4"/>
    <w:qFormat/>
    <w:pPr>
      <w:spacing w:before="0" w:after="120"/>
      <w:ind w:firstLine="432"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97W-Testimony.dot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2000-11-22T18:49:00Z</dcterms:created>
  <dc:creator>Carolyn Lim</dc:creator>
  <dc:description/>
  <dc:language>en-CA</dc:language>
  <cp:lastModifiedBy>Janice Frazier-Hampton</cp:lastModifiedBy>
  <cp:lastPrinted>2000-11-22T10:46:00Z</cp:lastPrinted>
  <dcterms:modified xsi:type="dcterms:W3CDTF">2000-11-22T18:49:00Z</dcterms:modified>
  <cp:revision>2</cp:revision>
  <dc:subject/>
  <dc:title> TITLE </dc:title>
</cp:coreProperties>
</file>