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5.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bidi w:val="0"/>
        <w:spacing w:lineRule="exact" w:line="560" w:before="3000" w:after="0"/>
        <w:jc w:val="center"/>
        <w:rPr/>
      </w:pPr>
      <w:r>
        <w:rPr/>
      </w: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RATE STABILIZATION POLICY</w:t>
      </w:r>
    </w:p>
    <w:p>
      <w:pPr>
        <w:sectPr>
          <w:headerReference w:type="default" r:id="rId2"/>
          <w:type w:val="nextPage"/>
          <w:pgSz w:w="12240" w:h="15840"/>
          <w:pgMar w:left="1440" w:right="1440" w:gutter="360" w:header="720" w:top="1008" w:footer="0" w:bottom="720"/>
          <w:lnNumType w:countBy="1" w:restart="newPage" w:distance="283"/>
          <w:pgNumType w:fmt="decimal"/>
          <w:formProt w:val="false"/>
          <w:textDirection w:val="lrTb"/>
          <w:docGrid w:type="default" w:linePitch="360" w:charSpace="0"/>
        </w:sectPr>
        <w:pStyle w:val="CoverTitle"/>
        <w:rPr/>
      </w:pPr>
      <w:r>
        <w:rPr/>
      </w:r>
    </w:p>
    <w:p>
      <w:pPr>
        <w:pStyle w:val="TOCTitle"/>
        <w:rPr/>
      </w:pP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RATE STABILIZATION POLICY</w:t>
        <w:br/>
        <w:br/>
        <w:t>TABLE OF CONTENTS</w:t>
      </w:r>
    </w:p>
    <w:sdt>
      <w:sdtPr>
        <w:docPartObj>
          <w:docPartGallery w:val="Table of Contents"/>
          <w:docPartUnique w:val="true"/>
        </w:docPartObj>
      </w:sdtPr>
      <w:sdtContent>
        <w:p>
          <w:pPr>
            <w:pStyle w:val="TOC1"/>
            <w:tabs>
              <w:tab w:val="left" w:pos="720" w:leader="none"/>
              <w:tab w:val="right" w:pos="9000" w:leader="dot"/>
            </w:tabs>
            <w:rPr>
              <w:rFonts w:ascii="Times New Roman" w:hAnsi="Times New Roman" w:cs="Times New Roman"/>
              <w:szCs w:val="24"/>
              <w:lang w:val="en-CA" w:eastAsia="en-CA"/>
            </w:rPr>
          </w:pPr>
          <w:r>
            <w:fldChar w:fldCharType="begin"/>
          </w:r>
          <w:r>
            <w:rPr>
              <w:szCs w:val="28"/>
              <w:lang w:val="en-CA" w:eastAsia="en-CA"/>
            </w:rPr>
            <w:instrText xml:space="preserve"> TOC \o "1-4" \s chap </w:instrText>
          </w:r>
          <w:r>
            <w:rPr>
              <w:szCs w:val="28"/>
              <w:lang w:val="en-CA" w:eastAsia="en-CA"/>
            </w:rPr>
            <w:fldChar w:fldCharType="separate"/>
          </w:r>
          <w:r>
            <w:rPr>
              <w:szCs w:val="28"/>
              <w:lang w:val="en-CA" w:eastAsia="en-CA"/>
            </w:rPr>
            <w:t>A.</w:t>
          </w:r>
          <w:r>
            <w:rPr>
              <w:rFonts w:cs="Times New Roman" w:ascii="Times New Roman" w:hAnsi="Times New Roman"/>
              <w:szCs w:val="24"/>
              <w:lang w:val="en-CA" w:eastAsia="en-CA"/>
            </w:rPr>
            <w:tab/>
          </w:r>
          <w:r>
            <w:rPr>
              <w:szCs w:val="28"/>
              <w:lang w:val="en-CA" w:eastAsia="en-CA"/>
            </w:rPr>
            <w:t>Introduction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2</w:t>
          </w:r>
          <w:r>
            <w:rPr>
              <w:lang w:val="en-CA" w:eastAsia="en-CA"/>
            </w:rPr>
            <w:fldChar w:fldCharType="end"/>
          </w:r>
          <w:r>
            <w:rPr>
              <w:lang w:val="en-CA" w:eastAsia="en-CA"/>
            </w:rPr>
            <w:t>-</w:t>
          </w:r>
          <w:hyperlink w:anchor="__RefHeading___Toc499516933">
            <w:r>
              <w:rPr>
                <w:rStyle w:val="IndexLink"/>
                <w:lang w:val="en-CA" w:eastAsia="en-CA"/>
              </w:rPr>
              <w:t>1</w:t>
            </w:r>
          </w:hyperlink>
        </w:p>
        <w:p>
          <w:pPr>
            <w:pStyle w:val="TOC1"/>
            <w:tabs>
              <w:tab w:val="left" w:pos="720" w:leader="none"/>
              <w:tab w:val="right" w:pos="9000" w:leader="dot"/>
            </w:tabs>
            <w:rPr>
              <w:rFonts w:ascii="Times New Roman" w:hAnsi="Times New Roman" w:cs="Times New Roman"/>
              <w:szCs w:val="24"/>
              <w:lang w:val="en-CA" w:eastAsia="en-CA"/>
            </w:rPr>
          </w:pPr>
          <w:r>
            <w:rPr>
              <w:rFonts w:cs="Arial"/>
              <w:szCs w:val="28"/>
              <w:lang w:val="en-CA" w:eastAsia="en-CA"/>
            </w:rPr>
            <w:t>B.</w:t>
          </w:r>
          <w:r>
            <w:rPr>
              <w:rFonts w:cs="Times New Roman" w:ascii="Times New Roman" w:hAnsi="Times New Roman"/>
              <w:szCs w:val="24"/>
              <w:lang w:val="en-CA" w:eastAsia="en-CA"/>
            </w:rPr>
            <w:tab/>
          </w:r>
          <w:r>
            <w:rPr>
              <w:rFonts w:cs="Arial"/>
              <w:szCs w:val="28"/>
              <w:lang w:val="en-CA" w:eastAsia="en-CA"/>
            </w:rPr>
            <w:t>Background—Need for Rate Stabilization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3</w:t>
          </w:r>
          <w:r>
            <w:rPr>
              <w:lang w:val="en-CA" w:eastAsia="en-CA"/>
            </w:rPr>
            <w:fldChar w:fldCharType="end"/>
          </w:r>
          <w:r>
            <w:rPr>
              <w:lang w:val="en-CA" w:eastAsia="en-CA"/>
            </w:rPr>
            <w:t>-</w:t>
          </w:r>
          <w:hyperlink w:anchor="__RefHeading___Toc499516934">
            <w:r>
              <w:rPr>
                <w:rStyle w:val="IndexLink"/>
                <w:lang w:val="en-CA" w:eastAsia="en-CA"/>
              </w:rPr>
              <w:t>2</w:t>
            </w:r>
          </w:hyperlink>
        </w:p>
        <w:p>
          <w:pPr>
            <w:pStyle w:val="TOC1"/>
            <w:tabs>
              <w:tab w:val="left" w:pos="720" w:leader="none"/>
              <w:tab w:val="right" w:pos="9000" w:leader="dot"/>
            </w:tabs>
            <w:rPr>
              <w:rFonts w:ascii="Times New Roman" w:hAnsi="Times New Roman" w:cs="Times New Roman"/>
              <w:szCs w:val="24"/>
              <w:lang w:val="en-CA" w:eastAsia="en-CA"/>
            </w:rPr>
          </w:pPr>
          <w:r>
            <w:rPr>
              <w:rFonts w:cs="Arial"/>
              <w:szCs w:val="28"/>
              <w:lang w:val="en-CA" w:eastAsia="en-CA"/>
            </w:rPr>
            <w:t>C.</w:t>
          </w:r>
          <w:r>
            <w:rPr>
              <w:rFonts w:cs="Times New Roman" w:ascii="Times New Roman" w:hAnsi="Times New Roman"/>
              <w:szCs w:val="24"/>
              <w:lang w:val="en-CA" w:eastAsia="en-CA"/>
            </w:rPr>
            <w:tab/>
          </w:r>
          <w:r>
            <w:rPr>
              <w:rFonts w:cs="Arial"/>
              <w:szCs w:val="28"/>
              <w:lang w:val="en-CA" w:eastAsia="en-CA"/>
            </w:rPr>
            <w:t>Mandatory Rate Stabilization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4</w:t>
          </w:r>
          <w:r>
            <w:rPr>
              <w:lang w:val="en-CA" w:eastAsia="en-CA"/>
            </w:rPr>
            <w:fldChar w:fldCharType="end"/>
          </w:r>
          <w:r>
            <w:rPr>
              <w:lang w:val="en-CA" w:eastAsia="en-CA"/>
            </w:rPr>
            <w:t>-</w:t>
          </w:r>
          <w:hyperlink w:anchor="__RefHeading___Toc499516935">
            <w:r>
              <w:rPr>
                <w:rStyle w:val="IndexLink"/>
                <w:lang w:val="en-CA" w:eastAsia="en-CA"/>
              </w:rPr>
              <w:t>5</w:t>
            </w:r>
          </w:hyperlink>
        </w:p>
        <w:p>
          <w:pPr>
            <w:pStyle w:val="TOC2"/>
            <w:tabs>
              <w:tab w:val="left" w:pos="1080" w:leader="none"/>
              <w:tab w:val="right" w:pos="9000" w:leader="dot"/>
            </w:tabs>
            <w:rPr>
              <w:rFonts w:ascii="Times New Roman" w:hAnsi="Times New Roman" w:cs="Times New Roman"/>
              <w:szCs w:val="24"/>
              <w:lang w:val="en-CA" w:eastAsia="en-CA"/>
            </w:rPr>
          </w:pPr>
          <w:r>
            <w:rPr>
              <w:rFonts w:cs="Arial"/>
              <w:szCs w:val="26"/>
              <w:lang w:val="en-CA" w:eastAsia="en-CA"/>
            </w:rPr>
            <w:t>1.</w:t>
          </w:r>
          <w:r>
            <w:rPr>
              <w:rFonts w:cs="Times New Roman" w:ascii="Times New Roman" w:hAnsi="Times New Roman"/>
              <w:szCs w:val="24"/>
              <w:lang w:val="en-CA" w:eastAsia="en-CA"/>
            </w:rPr>
            <w:tab/>
          </w:r>
          <w:r>
            <w:rPr>
              <w:rFonts w:cs="Arial"/>
              <w:szCs w:val="26"/>
              <w:lang w:val="en-CA" w:eastAsia="en-CA"/>
            </w:rPr>
            <w:t>Starting Rate</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5</w:t>
          </w:r>
          <w:r>
            <w:rPr>
              <w:lang w:val="en-CA" w:eastAsia="en-CA"/>
            </w:rPr>
            <w:fldChar w:fldCharType="end"/>
          </w:r>
          <w:r>
            <w:rPr>
              <w:lang w:val="en-CA" w:eastAsia="en-CA"/>
            </w:rPr>
            <w:t>-</w:t>
          </w:r>
          <w:hyperlink w:anchor="__RefHeading___Toc499516936">
            <w:r>
              <w:rPr>
                <w:rStyle w:val="IndexLink"/>
                <w:lang w:val="en-CA" w:eastAsia="en-CA"/>
              </w:rPr>
              <w:t>6</w:t>
            </w:r>
          </w:hyperlink>
        </w:p>
        <w:p>
          <w:pPr>
            <w:pStyle w:val="TOC2"/>
            <w:tabs>
              <w:tab w:val="left" w:pos="1080" w:leader="none"/>
              <w:tab w:val="right" w:pos="9000" w:leader="dot"/>
            </w:tabs>
            <w:rPr>
              <w:rFonts w:ascii="Times New Roman" w:hAnsi="Times New Roman" w:cs="Times New Roman"/>
              <w:szCs w:val="24"/>
              <w:lang w:val="en-CA" w:eastAsia="en-CA"/>
            </w:rPr>
          </w:pPr>
          <w:r>
            <w:rPr>
              <w:rFonts w:cs="Arial"/>
              <w:szCs w:val="26"/>
              <w:lang w:val="en-CA" w:eastAsia="en-CA"/>
            </w:rPr>
            <w:t>2.</w:t>
          </w:r>
          <w:r>
            <w:rPr>
              <w:rFonts w:cs="Times New Roman" w:ascii="Times New Roman" w:hAnsi="Times New Roman"/>
              <w:szCs w:val="24"/>
              <w:lang w:val="en-CA" w:eastAsia="en-CA"/>
            </w:rPr>
            <w:tab/>
          </w:r>
          <w:r>
            <w:rPr>
              <w:rFonts w:cs="Arial"/>
              <w:szCs w:val="26"/>
              <w:lang w:val="en-CA" w:eastAsia="en-CA"/>
            </w:rPr>
            <w:t>Managing the Stabilized Rate to Balance Rate Stability for Customers and Financial Stability for PG&amp;E</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6</w:t>
          </w:r>
          <w:r>
            <w:rPr>
              <w:lang w:val="en-CA" w:eastAsia="en-CA"/>
            </w:rPr>
            <w:fldChar w:fldCharType="end"/>
          </w:r>
          <w:r>
            <w:rPr>
              <w:lang w:val="en-CA" w:eastAsia="en-CA"/>
            </w:rPr>
            <w:t>-</w:t>
          </w:r>
          <w:hyperlink w:anchor="__RefHeading___Toc499516937">
            <w:r>
              <w:rPr>
                <w:rStyle w:val="IndexLink"/>
                <w:lang w:val="en-CA" w:eastAsia="en-CA"/>
              </w:rPr>
              <w:t>8</w:t>
            </w:r>
          </w:hyperlink>
        </w:p>
        <w:p>
          <w:pPr>
            <w:pStyle w:val="TOC2"/>
            <w:tabs>
              <w:tab w:val="left" w:pos="1080" w:leader="none"/>
              <w:tab w:val="right" w:pos="9000" w:leader="dot"/>
            </w:tabs>
            <w:rPr>
              <w:rFonts w:ascii="Times New Roman" w:hAnsi="Times New Roman" w:cs="Times New Roman"/>
              <w:szCs w:val="24"/>
              <w:lang w:val="en-CA" w:eastAsia="en-CA"/>
            </w:rPr>
          </w:pPr>
          <w:r>
            <w:rPr>
              <w:rFonts w:cs="Arial"/>
              <w:szCs w:val="26"/>
              <w:lang w:val="en-CA" w:eastAsia="en-CA"/>
            </w:rPr>
            <w:t>3.</w:t>
          </w:r>
          <w:r>
            <w:rPr>
              <w:rFonts w:cs="Times New Roman" w:ascii="Times New Roman" w:hAnsi="Times New Roman"/>
              <w:szCs w:val="24"/>
              <w:lang w:val="en-CA" w:eastAsia="en-CA"/>
            </w:rPr>
            <w:tab/>
          </w:r>
          <w:r>
            <w:rPr>
              <w:rFonts w:cs="Arial"/>
              <w:szCs w:val="26"/>
              <w:lang w:val="en-CA" w:eastAsia="en-CA"/>
            </w:rPr>
            <w:t>Mandatory Rate Stabilization Term</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7</w:t>
          </w:r>
          <w:r>
            <w:rPr>
              <w:lang w:val="en-CA" w:eastAsia="en-CA"/>
            </w:rPr>
            <w:fldChar w:fldCharType="end"/>
          </w:r>
          <w:r>
            <w:rPr>
              <w:lang w:val="en-CA" w:eastAsia="en-CA"/>
            </w:rPr>
            <w:t>-</w:t>
          </w:r>
          <w:hyperlink w:anchor="__RefHeading___Toc499516938">
            <w:r>
              <w:rPr>
                <w:rStyle w:val="IndexLink"/>
                <w:lang w:val="en-CA" w:eastAsia="en-CA"/>
              </w:rPr>
              <w:t>9</w:t>
            </w:r>
          </w:hyperlink>
        </w:p>
        <w:p>
          <w:pPr>
            <w:pStyle w:val="TOC1"/>
            <w:tabs>
              <w:tab w:val="left" w:pos="720" w:leader="none"/>
              <w:tab w:val="right" w:pos="9000" w:leader="dot"/>
            </w:tabs>
            <w:rPr>
              <w:rFonts w:ascii="Times New Roman" w:hAnsi="Times New Roman" w:cs="Times New Roman"/>
              <w:szCs w:val="24"/>
              <w:lang w:val="en-CA" w:eastAsia="en-CA"/>
            </w:rPr>
          </w:pPr>
          <w:r>
            <w:rPr>
              <w:rFonts w:cs="Arial"/>
              <w:szCs w:val="28"/>
              <w:lang w:val="en-CA" w:eastAsia="en-CA"/>
            </w:rPr>
            <w:t>D.</w:t>
          </w:r>
          <w:r>
            <w:rPr>
              <w:rFonts w:cs="Times New Roman" w:ascii="Times New Roman" w:hAnsi="Times New Roman"/>
              <w:szCs w:val="24"/>
              <w:lang w:val="en-CA" w:eastAsia="en-CA"/>
            </w:rPr>
            <w:tab/>
          </w:r>
          <w:r>
            <w:rPr>
              <w:rFonts w:cs="Arial"/>
              <w:szCs w:val="28"/>
              <w:lang w:val="en-CA" w:eastAsia="en-CA"/>
            </w:rPr>
            <w:t>Applicability</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8</w:t>
          </w:r>
          <w:r>
            <w:rPr>
              <w:lang w:val="en-CA" w:eastAsia="en-CA"/>
            </w:rPr>
            <w:fldChar w:fldCharType="end"/>
          </w:r>
          <w:r>
            <w:rPr>
              <w:lang w:val="en-CA" w:eastAsia="en-CA"/>
            </w:rPr>
            <w:t>-</w:t>
          </w:r>
          <w:hyperlink w:anchor="__RefHeading___Toc499516939">
            <w:r>
              <w:rPr>
                <w:rStyle w:val="IndexLink"/>
                <w:lang w:val="en-CA" w:eastAsia="en-CA"/>
              </w:rPr>
              <w:t>9</w:t>
            </w:r>
          </w:hyperlink>
        </w:p>
        <w:p>
          <w:pPr>
            <w:pStyle w:val="TOC1"/>
            <w:tabs>
              <w:tab w:val="left" w:pos="720" w:leader="none"/>
              <w:tab w:val="right" w:pos="9000" w:leader="dot"/>
            </w:tabs>
            <w:rPr>
              <w:rFonts w:ascii="Times New Roman" w:hAnsi="Times New Roman" w:cs="Times New Roman"/>
              <w:szCs w:val="24"/>
              <w:lang w:val="en-CA" w:eastAsia="en-CA"/>
            </w:rPr>
          </w:pPr>
          <w:r>
            <w:rPr>
              <w:rFonts w:cs="Arial"/>
              <w:szCs w:val="28"/>
              <w:lang w:val="en-CA" w:eastAsia="en-CA"/>
            </w:rPr>
            <w:t>E.</w:t>
          </w:r>
          <w:r>
            <w:rPr>
              <w:rFonts w:cs="Times New Roman" w:ascii="Times New Roman" w:hAnsi="Times New Roman"/>
              <w:szCs w:val="24"/>
              <w:lang w:val="en-CA" w:eastAsia="en-CA"/>
            </w:rPr>
            <w:tab/>
          </w:r>
          <w:r>
            <w:rPr>
              <w:rFonts w:cs="Arial"/>
              <w:szCs w:val="28"/>
              <w:lang w:val="en-CA" w:eastAsia="en-CA"/>
            </w:rPr>
            <w:t>Optional Rate Stabilization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9</w:t>
          </w:r>
          <w:r>
            <w:rPr>
              <w:lang w:val="en-CA" w:eastAsia="en-CA"/>
            </w:rPr>
            <w:fldChar w:fldCharType="end"/>
          </w:r>
          <w:r>
            <w:rPr>
              <w:lang w:val="en-CA" w:eastAsia="en-CA"/>
            </w:rPr>
            <w:t>-</w:t>
          </w:r>
          <w:hyperlink w:anchor="__RefHeading___Toc499516940">
            <w:r>
              <w:rPr>
                <w:rStyle w:val="IndexLink"/>
                <w:lang w:val="en-CA" w:eastAsia="en-CA"/>
              </w:rPr>
              <w:t>10</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F.</w:t>
          </w:r>
          <w:r>
            <w:rPr>
              <w:rFonts w:cs="Times New Roman" w:ascii="Times New Roman" w:hAnsi="Times New Roman"/>
              <w:szCs w:val="24"/>
              <w:lang w:val="en-CA" w:eastAsia="en-CA"/>
            </w:rPr>
            <w:tab/>
          </w:r>
          <w:r>
            <w:rPr>
              <w:szCs w:val="28"/>
              <w:lang w:val="en-CA" w:eastAsia="en-CA"/>
            </w:rPr>
            <w:t>Unrecovered Cost of Service Account Rate</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10</w:t>
          </w:r>
          <w:r>
            <w:rPr>
              <w:lang w:val="en-CA" w:eastAsia="en-CA"/>
            </w:rPr>
            <w:fldChar w:fldCharType="end"/>
          </w:r>
          <w:r>
            <w:rPr>
              <w:lang w:val="en-CA" w:eastAsia="en-CA"/>
            </w:rPr>
            <w:t>-</w:t>
          </w:r>
          <w:hyperlink w:anchor="__RefHeading___Toc499516941">
            <w:r>
              <w:rPr>
                <w:rStyle w:val="IndexLink"/>
                <w:lang w:val="en-CA" w:eastAsia="en-CA"/>
              </w:rPr>
              <w:t>11</w:t>
            </w:r>
          </w:hyperlink>
        </w:p>
        <w:p>
          <w:pPr>
            <w:pStyle w:val="TOC1"/>
            <w:tabs>
              <w:tab w:val="left" w:pos="720" w:leader="none"/>
              <w:tab w:val="right" w:pos="9000" w:leader="dot"/>
            </w:tabs>
            <w:rPr>
              <w:rFonts w:ascii="Times New Roman" w:hAnsi="Times New Roman" w:cs="Times New Roman"/>
              <w:szCs w:val="24"/>
              <w:lang w:val="en-CA" w:eastAsia="en-CA"/>
            </w:rPr>
          </w:pPr>
          <w:r>
            <w:rPr>
              <w:rFonts w:cs="Arial"/>
              <w:szCs w:val="28"/>
              <w:lang w:val="en-CA" w:eastAsia="en-CA"/>
            </w:rPr>
            <w:t>G.</w:t>
          </w:r>
          <w:r>
            <w:rPr>
              <w:rFonts w:cs="Times New Roman" w:ascii="Times New Roman" w:hAnsi="Times New Roman"/>
              <w:szCs w:val="24"/>
              <w:lang w:val="en-CA" w:eastAsia="en-CA"/>
            </w:rPr>
            <w:tab/>
          </w:r>
          <w:r>
            <w:rPr>
              <w:rFonts w:cs="Arial"/>
              <w:szCs w:val="28"/>
              <w:lang w:val="en-CA" w:eastAsia="en-CA"/>
            </w:rPr>
            <w:t>California Alternate Rates for Energy Program Changes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11</w:t>
          </w:r>
          <w:r>
            <w:rPr>
              <w:lang w:val="en-CA" w:eastAsia="en-CA"/>
            </w:rPr>
            <w:fldChar w:fldCharType="end"/>
          </w:r>
          <w:r>
            <w:rPr>
              <w:lang w:val="en-CA" w:eastAsia="en-CA"/>
            </w:rPr>
            <w:t>-</w:t>
          </w:r>
          <w:hyperlink w:anchor="__RefHeading___Toc499516942">
            <w:r>
              <w:rPr>
                <w:rStyle w:val="IndexLink"/>
                <w:lang w:val="en-CA" w:eastAsia="en-CA"/>
              </w:rPr>
              <w:t>11</w:t>
            </w:r>
          </w:hyperlink>
        </w:p>
        <w:p>
          <w:pPr>
            <w:pStyle w:val="TOC1"/>
            <w:tabs>
              <w:tab w:val="left" w:pos="720" w:leader="none"/>
              <w:tab w:val="right" w:pos="9000" w:leader="dot"/>
            </w:tabs>
            <w:rPr>
              <w:rFonts w:ascii="Times New Roman" w:hAnsi="Times New Roman" w:cs="Times New Roman"/>
              <w:szCs w:val="24"/>
              <w:lang w:val="en-CA" w:eastAsia="en-CA"/>
            </w:rPr>
          </w:pPr>
          <w:r>
            <w:rPr>
              <w:rFonts w:cs="Arial"/>
              <w:szCs w:val="28"/>
              <w:lang w:val="en-CA" w:eastAsia="en-CA"/>
            </w:rPr>
            <w:t>H.</w:t>
          </w:r>
          <w:r>
            <w:rPr>
              <w:rFonts w:cs="Times New Roman" w:ascii="Times New Roman" w:hAnsi="Times New Roman"/>
              <w:szCs w:val="24"/>
              <w:lang w:val="en-CA" w:eastAsia="en-CA"/>
            </w:rPr>
            <w:tab/>
          </w:r>
          <w:r>
            <w:rPr>
              <w:rFonts w:cs="Arial"/>
              <w:szCs w:val="28"/>
              <w:lang w:val="en-CA" w:eastAsia="en-CA"/>
            </w:rPr>
            <w:t>Nonbypassability of UCSA and DPRA</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12</w:t>
          </w:r>
          <w:r>
            <w:rPr>
              <w:lang w:val="en-CA" w:eastAsia="en-CA"/>
            </w:rPr>
            <w:fldChar w:fldCharType="end"/>
          </w:r>
          <w:r>
            <w:rPr>
              <w:lang w:val="en-CA" w:eastAsia="en-CA"/>
            </w:rPr>
            <w:t>-</w:t>
          </w:r>
          <w:hyperlink w:anchor="__RefHeading___Toc499516943">
            <w:r>
              <w:rPr>
                <w:rStyle w:val="IndexLink"/>
                <w:lang w:val="en-CA" w:eastAsia="en-CA"/>
              </w:rPr>
              <w:t>12</w:t>
            </w:r>
          </w:hyperlink>
        </w:p>
        <w:p>
          <w:pPr>
            <w:pStyle w:val="TOC1"/>
            <w:tabs>
              <w:tab w:val="left" w:pos="720" w:leader="none"/>
              <w:tab w:val="right" w:pos="9000" w:leader="dot"/>
            </w:tabs>
            <w:rPr>
              <w:rFonts w:ascii="Times New Roman" w:hAnsi="Times New Roman" w:cs="Times New Roman"/>
              <w:szCs w:val="24"/>
              <w:lang w:val="en-CA" w:eastAsia="en-CA"/>
            </w:rPr>
          </w:pPr>
          <w:r>
            <w:rPr>
              <w:rFonts w:cs="Arial"/>
              <w:szCs w:val="28"/>
              <w:lang w:val="en-CA" w:eastAsia="en-CA"/>
            </w:rPr>
            <w:t>I.</w:t>
          </w:r>
          <w:r>
            <w:rPr>
              <w:rFonts w:cs="Times New Roman" w:ascii="Times New Roman" w:hAnsi="Times New Roman"/>
              <w:szCs w:val="24"/>
              <w:lang w:val="en-CA" w:eastAsia="en-CA"/>
            </w:rPr>
            <w:tab/>
          </w:r>
          <w:r>
            <w:rPr>
              <w:rFonts w:cs="Arial"/>
              <w:szCs w:val="28"/>
              <w:lang w:val="en-CA" w:eastAsia="en-CA"/>
            </w:rPr>
            <w:t>Conclusion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13</w:t>
          </w:r>
          <w:r>
            <w:rPr>
              <w:lang w:val="en-CA" w:eastAsia="en-CA"/>
            </w:rPr>
            <w:fldChar w:fldCharType="end"/>
          </w:r>
          <w:r>
            <w:rPr>
              <w:lang w:val="en-CA" w:eastAsia="en-CA"/>
            </w:rPr>
            <w:t>-</w:t>
          </w:r>
          <w:hyperlink w:anchor="__RefHeading___Toc499516944">
            <w:r>
              <w:rPr>
                <w:rStyle w:val="IndexLink"/>
                <w:lang w:val="en-CA" w:eastAsia="en-CA"/>
              </w:rPr>
              <w:t>13</w:t>
            </w:r>
          </w:hyperlink>
          <w:r>
            <w:rPr>
              <w:rStyle w:val="IndexLink"/>
              <w:lang w:val="en-CA" w:eastAsia="en-CA"/>
            </w:rPr>
            <w:fldChar w:fldCharType="end"/>
          </w:r>
        </w:p>
      </w:sdtContent>
    </w:sdt>
    <w:p>
      <w:pPr>
        <w:sectPr>
          <w:headerReference w:type="default" r:id="rId3"/>
          <w:headerReference w:type="first" r:id="rId4"/>
          <w:footerReference w:type="default" r:id="rId5"/>
          <w:footerReference w:type="first" r:id="rId6"/>
          <w:type w:val="nextPage"/>
          <w:pgSz w:w="12240" w:h="15840"/>
          <w:pgMar w:left="1440" w:right="1440" w:gutter="360" w:header="720" w:top="1008" w:footer="432" w:bottom="1656"/>
          <w:lnNumType w:countBy="1" w:restart="newPage" w:distance="283"/>
          <w:pgNumType w:start="1" w:fmt="lowerRoman"/>
          <w:formProt w:val="false"/>
          <w:titlePg/>
          <w:textDirection w:val="lrTb"/>
          <w:docGrid w:type="default" w:linePitch="360" w:charSpace="0"/>
        </w:sectPr>
        <w:pStyle w:val="Normal"/>
        <w:rPr>
          <w:rFonts w:ascii="Times New Roman" w:hAnsi="Times New Roman" w:cs="Times New Roman"/>
          <w:szCs w:val="24"/>
          <w:lang w:val="en-CA" w:eastAsia="en-CA"/>
        </w:rPr>
      </w:pPr>
      <w:r>
        <w:rPr>
          <w:rFonts w:cs="Times New Roman" w:ascii="Times New Roman" w:hAnsi="Times New Roman"/>
          <w:szCs w:val="24"/>
          <w:lang w:val="en-CA" w:eastAsia="en-CA"/>
        </w:rPr>
      </w:r>
    </w:p>
    <w:p>
      <w:pPr>
        <w:pStyle w:val="TITLE1"/>
        <w:rPr/>
      </w:pPr>
      <w:r>
        <w:rPr/>
        <w:t>PACIFIC GAS AND ELECTRIC COMPANY</w:t>
      </w:r>
    </w:p>
    <w:p>
      <w:pPr>
        <w:pStyle w:val="TITLE3"/>
        <w:rPr/>
      </w:pPr>
      <w:r>
        <w:rPr/>
        <w:t xml:space="preserve">CHAPTER </w:t>
      </w:r>
      <w:r>
        <w:rPr/>
        <w:fldChar w:fldCharType="begin"/>
      </w:r>
      <w:r>
        <w:rPr/>
        <w:instrText xml:space="preserve"> SEQ chap \* ARABIC </w:instrText>
      </w:r>
      <w:r>
        <w:rPr/>
        <w:fldChar w:fldCharType="separate"/>
      </w:r>
      <w:r>
        <w:rPr/>
        <w:t>13</w:t>
      </w:r>
      <w:r>
        <w:rPr/>
        <w:fldChar w:fldCharType="end"/>
      </w:r>
      <w:r>
        <w:rPr/>
        <w:br/>
        <w:t>RATE STABILIZATION POLICY</w:t>
      </w:r>
    </w:p>
    <w:p>
      <w:pPr>
        <w:pStyle w:val="Heading1"/>
        <w:ind w:firstLine="432" w:start="0"/>
        <w:rPr/>
      </w:pPr>
      <w:bookmarkStart w:id="0" w:name="__RefHeading___Toc499516933"/>
      <w:bookmarkEnd w:id="0"/>
      <w:r>
        <w:rPr/>
        <w:t>Introduction</w:t>
      </w:r>
    </w:p>
    <w:p>
      <w:pPr>
        <w:pStyle w:val="Body1"/>
        <w:rPr>
          <w:rFonts w:cs="Arial"/>
        </w:rPr>
      </w:pPr>
      <w:r>
        <w:rPr>
          <w:rFonts w:cs="Arial"/>
        </w:rPr>
        <w:t>This chapter describes why it is necessary and appropriate to establish a rate stabilization mechanism to smooth the effect on customers’ bills of extremely high and volatile wholesale energy prices for a temporary period after PG&amp;E’s electric rates are no longer frozen.  This chapter will generally describe PG&amp;E’s proposed rate stabilization plan (RSP) and how the RSP will protect customers from wholesale price volatility while at the same time protecting PG&amp;E’s financial viability.  The detailed implementation of PG&amp;E’s RSP is described in Chapters 6 and 7, and the relationship of the RSP to PG&amp;E’s financial viability is described in Chapters 3, 4 and 5.</w:t>
      </w:r>
    </w:p>
    <w:p>
      <w:pPr>
        <w:pStyle w:val="Body1"/>
        <w:rPr>
          <w:rFonts w:cs="Arial"/>
        </w:rPr>
      </w:pPr>
      <w:r>
        <w:rPr>
          <w:rFonts w:cs="Arial"/>
        </w:rPr>
        <w:t>In summary, PG&amp;E proposes a plan to stabilize the going-forward costs of wholesale power purchases.  This portion of the plan includes the following elements:</w:t>
      </w:r>
    </w:p>
    <w:p>
      <w:pPr>
        <w:pStyle w:val="Bullet1"/>
        <w:numPr>
          <w:ilvl w:val="0"/>
          <w:numId w:val="6"/>
        </w:numPr>
        <w:rPr/>
      </w:pPr>
      <w:r>
        <w:rPr/>
        <w:t>A starting rate of 6.5 cents per kilowatt-hour (kWh) for electric energy commodity costs, effective on an interim basis subject to refund on January 1, 2001, with final adoption no later than March 31, 2001.  This initial rate is comparable to the 6.5 cents per kWh electric energy rate cap adopted by the California State Legislature for San Diego Gas &amp; Electric Company (SDG&amp;E) in Assembly Bill (AB) 265.</w:t>
      </w:r>
    </w:p>
    <w:p>
      <w:pPr>
        <w:pStyle w:val="Bullet1"/>
        <w:numPr>
          <w:ilvl w:val="0"/>
          <w:numId w:val="6"/>
        </w:numPr>
        <w:rPr/>
      </w:pPr>
      <w:r>
        <w:rPr/>
        <w:t>A trigger mechanism which allows the starting rate to change as necessary to provide a reasonable opportunity that any undercollected electric energy commodity costs booked into the proposed Deferred Procurement Revenue Account (DPRA) remain within amounts capable of being financed by PG&amp;E at investment grade.</w:t>
      </w:r>
    </w:p>
    <w:p>
      <w:pPr>
        <w:pStyle w:val="Bullet1"/>
        <w:numPr>
          <w:ilvl w:val="0"/>
          <w:numId w:val="6"/>
        </w:numPr>
        <w:rPr/>
      </w:pPr>
      <w:r>
        <w:rPr/>
        <w:t>Mandatory applicability to all customers except Schedules S, E</w:t>
        <w:noBreakHyphen/>
        <w:t>19 (Mandatory), E</w:t>
        <w:noBreakHyphen/>
        <w:t>20 and E</w:t>
        <w:noBreakHyphen/>
        <w:t>25, including direct access (DA) customers, with an opportunity for these larger customers to participate in an optional rate stabilization plan on an annual true-up basis beginning March 31, 2001.</w:t>
      </w:r>
    </w:p>
    <w:p>
      <w:pPr>
        <w:pStyle w:val="Body1"/>
        <w:rPr>
          <w:rFonts w:cs="Arial"/>
        </w:rPr>
      </w:pPr>
      <w:r>
        <w:rPr>
          <w:rFonts w:cs="Arial"/>
        </w:rPr>
        <w:t>There are, additionally, two other components of the overall rate stabilization plan intended to moderate the rate increases experienced by customers when rates are no longer frozen.</w:t>
      </w:r>
    </w:p>
    <w:p>
      <w:pPr>
        <w:pStyle w:val="Bullet1"/>
        <w:numPr>
          <w:ilvl w:val="0"/>
          <w:numId w:val="6"/>
        </w:numPr>
        <w:rPr/>
      </w:pPr>
      <w:r>
        <w:rPr/>
        <w:t xml:space="preserve">A separate Unrecovered Cost of Service Account (UCSA) rate applicable to </w:t>
      </w:r>
      <w:r>
        <w:rPr>
          <w:i/>
          <w:iCs/>
        </w:rPr>
        <w:t>all</w:t>
      </w:r>
      <w:r>
        <w:rPr/>
        <w:t xml:space="preserve"> customers to recover over the five-year rate stabilization period the undercollected Transition Revenue Account (TRA) balance that has accrued as of implementation of this plan, as a result of the wholesale market dysfunctions.  The amount of the UCSA rate will be reduced by credits attributable to deferring recovery of revenues from PG&amp;E’s retained nuclear and non-nuclear power generating facilities.</w:t>
      </w:r>
    </w:p>
    <w:p>
      <w:pPr>
        <w:pStyle w:val="Bullet1"/>
        <w:numPr>
          <w:ilvl w:val="0"/>
          <w:numId w:val="6"/>
        </w:numPr>
        <w:rPr/>
      </w:pPr>
      <w:r>
        <w:rPr/>
        <w:t>To mitigate impacts of the proposed increase in rates on low-income customers, an immediate increase from 15 percent to 25 percent in the current discount provided to such customers who participate in the California Alternative Rates for Energy (CARE) program.</w:t>
      </w:r>
    </w:p>
    <w:p>
      <w:pPr>
        <w:pStyle w:val="Body1"/>
        <w:rPr>
          <w:rFonts w:cs="Arial"/>
        </w:rPr>
      </w:pPr>
      <w:r>
        <w:rPr>
          <w:rFonts w:cs="Arial"/>
        </w:rPr>
        <w:t>The remainder of this chapter is organized as follows:</w:t>
      </w:r>
    </w:p>
    <w:p>
      <w:pPr>
        <w:pStyle w:val="Bullet1"/>
        <w:numPr>
          <w:ilvl w:val="0"/>
          <w:numId w:val="6"/>
        </w:numPr>
        <w:rPr/>
      </w:pPr>
      <w:r>
        <w:rPr/>
        <w:t xml:space="preserve">Section B - Background—Need for Rate Stabilization </w:t>
      </w:r>
    </w:p>
    <w:p>
      <w:pPr>
        <w:pStyle w:val="Bullet1"/>
        <w:numPr>
          <w:ilvl w:val="0"/>
          <w:numId w:val="6"/>
        </w:numPr>
        <w:rPr/>
      </w:pPr>
      <w:r>
        <w:rPr/>
        <w:t xml:space="preserve">Section C - Mandatory Rate Stabilization </w:t>
      </w:r>
    </w:p>
    <w:p>
      <w:pPr>
        <w:pStyle w:val="Bullet1"/>
        <w:numPr>
          <w:ilvl w:val="0"/>
          <w:numId w:val="6"/>
        </w:numPr>
        <w:rPr/>
      </w:pPr>
      <w:r>
        <w:rPr/>
        <w:t>Section D - Applicability</w:t>
      </w:r>
    </w:p>
    <w:p>
      <w:pPr>
        <w:pStyle w:val="Bullet1"/>
        <w:numPr>
          <w:ilvl w:val="0"/>
          <w:numId w:val="6"/>
        </w:numPr>
        <w:rPr/>
      </w:pPr>
      <w:r>
        <w:rPr/>
        <w:t>Section E - Optional Rate Stabilization</w:t>
      </w:r>
    </w:p>
    <w:p>
      <w:pPr>
        <w:pStyle w:val="Bullet1"/>
        <w:numPr>
          <w:ilvl w:val="0"/>
          <w:numId w:val="6"/>
        </w:numPr>
        <w:rPr/>
      </w:pPr>
      <w:r>
        <w:rPr/>
        <w:t>Section F - Unrecovered Cost of Service Account Rate</w:t>
      </w:r>
    </w:p>
    <w:p>
      <w:pPr>
        <w:pStyle w:val="Bullet1"/>
        <w:numPr>
          <w:ilvl w:val="0"/>
          <w:numId w:val="6"/>
        </w:numPr>
        <w:rPr/>
      </w:pPr>
      <w:r>
        <w:rPr/>
        <w:t>Section G - California Alternate Rates for Energy Program Changes</w:t>
      </w:r>
    </w:p>
    <w:p>
      <w:pPr>
        <w:pStyle w:val="Bullet1"/>
        <w:numPr>
          <w:ilvl w:val="0"/>
          <w:numId w:val="6"/>
        </w:numPr>
        <w:rPr/>
      </w:pPr>
      <w:r>
        <w:rPr/>
        <w:t>Section H - Nonbypassability of UCSA and DPRA</w:t>
      </w:r>
    </w:p>
    <w:p>
      <w:pPr>
        <w:pStyle w:val="Bullet1"/>
        <w:numPr>
          <w:ilvl w:val="0"/>
          <w:numId w:val="6"/>
        </w:numPr>
        <w:rPr/>
      </w:pPr>
      <w:r>
        <w:rPr/>
        <w:t>Section I - Conclusion</w:t>
      </w:r>
    </w:p>
    <w:p>
      <w:pPr>
        <w:pStyle w:val="Heading1"/>
        <w:ind w:firstLine="432" w:start="0"/>
        <w:rPr/>
      </w:pPr>
      <w:bookmarkStart w:id="1" w:name="__RefHeading___Toc499516934"/>
      <w:bookmarkEnd w:id="1"/>
      <w:r>
        <w:rPr>
          <w:rFonts w:cs="Arial"/>
        </w:rPr>
        <w:t>Background—Need for Rate Stabilization</w:t>
      </w:r>
    </w:p>
    <w:p>
      <w:pPr>
        <w:pStyle w:val="Body1"/>
        <w:rPr>
          <w:rFonts w:cs="Arial"/>
        </w:rPr>
      </w:pPr>
      <w:r>
        <w:rPr>
          <w:rFonts w:cs="Arial"/>
        </w:rPr>
        <w:t>When PG&amp;E first put forward its electric energy price capping proposal in the Post-Transition Electric Ratemaking (PTER) proceeding in January 1999, the proposal was viewed as unnecessary.  PG&amp;E’s proposal was rejected because it was argued that the benefits of providing unmasked price signals to encourage demand-side responsiveness outweighed the benefits of shielding customers from price spikes.  However, given the price spikes and volatility that have occurred over the past summer, most participants in the California electric markets now agree that a temporary smoothing mechanism of some kind is necessary to mitigate wholesale electric commodity price volatility to customers until such time as wholesale markets are stabilized and no longer subject to market dysfunctions.</w:t>
      </w:r>
    </w:p>
    <w:p>
      <w:pPr>
        <w:pStyle w:val="Body1"/>
        <w:rPr>
          <w:rFonts w:cs="Arial"/>
        </w:rPr>
      </w:pPr>
      <w:r>
        <w:rPr>
          <w:rFonts w:cs="Arial"/>
        </w:rPr>
        <w:t>Through the summer of 1999, when PG&amp;E’s price capping proposal was considered, prices were (when compared to prices today) reasonable, though moderately higher than they had been the previous summer.  Starting in June 2000, however, prices jumped dramatically and in ways no one anticipated.  The following table compares PG&amp;E’s average monthly cost to procure power for customers during 1999 and 2000.</w:t>
      </w:r>
    </w:p>
    <w:p>
      <w:pPr>
        <w:pStyle w:val="TableCaption"/>
        <w:suppressLineNumbers/>
        <w:rPr/>
      </w:pPr>
      <w:r>
        <w:rPr>
          <w:rFonts w:cs="Arial"/>
        </w:rPr>
        <w:t>Table 2-1</w:t>
        <w:br/>
        <w:t>PG&amp;E’s Monthly Average PX Costs</w:t>
      </w:r>
      <w:r>
        <w:rPr>
          <w:rFonts w:cs="Arial"/>
          <w:caps w:val="false"/>
          <w:smallCaps w:val="false"/>
          <w:color w:val="000000"/>
          <w:position w:val="6"/>
          <w:sz w:val="24"/>
        </w:rPr>
        <w:t>[</w:t>
      </w:r>
      <w:r>
        <w:rPr>
          <w:rStyle w:val="FootnoteCharacters"/>
          <w:rStyle w:val="FootnoteReference"/>
          <w:b w:val="false"/>
        </w:rPr>
        <w:footnoteReference w:id="2"/>
      </w:r>
      <w:r>
        <w:rPr>
          <w:rFonts w:cs="Arial"/>
          <w:caps w:val="false"/>
          <w:smallCaps w:val="false"/>
          <w:color w:val="000000"/>
          <w:position w:val="6"/>
          <w:sz w:val="24"/>
        </w:rPr>
        <w:t>]</w:t>
      </w:r>
    </w:p>
    <w:tbl>
      <w:tblPr>
        <w:tblW w:w="7184" w:type="dxa"/>
        <w:jc w:val="center"/>
        <w:tblInd w:w="0" w:type="dxa"/>
        <w:tblLayout w:type="fixed"/>
        <w:tblCellMar>
          <w:top w:w="0" w:type="dxa"/>
          <w:start w:w="108" w:type="dxa"/>
          <w:bottom w:w="0" w:type="dxa"/>
          <w:end w:w="108" w:type="dxa"/>
        </w:tblCellMar>
      </w:tblPr>
      <w:tblGrid>
        <w:gridCol w:w="704"/>
        <w:gridCol w:w="2160"/>
        <w:gridCol w:w="1440"/>
        <w:gridCol w:w="1440"/>
        <w:gridCol w:w="1440"/>
      </w:tblGrid>
      <w:tr>
        <w:trPr/>
        <w:tc>
          <w:tcPr>
            <w:tcW w:w="704" w:type="dxa"/>
            <w:tcBorders/>
          </w:tcPr>
          <w:p>
            <w:pPr>
              <w:pStyle w:val="Table"/>
              <w:jc w:val="center"/>
              <w:rPr>
                <w:rFonts w:cs="Arial"/>
              </w:rPr>
            </w:pPr>
            <w:r>
              <w:rPr>
                <w:rFonts w:cs="Arial"/>
              </w:rPr>
              <w:t>Line</w:t>
            </w:r>
          </w:p>
        </w:tc>
        <w:tc>
          <w:tcPr>
            <w:tcW w:w="2160" w:type="dxa"/>
            <w:tcBorders/>
          </w:tcPr>
          <w:p>
            <w:pPr>
              <w:pStyle w:val="Table"/>
              <w:snapToGrid w:val="false"/>
              <w:jc w:val="center"/>
              <w:rPr>
                <w:rFonts w:cs="Arial"/>
              </w:rPr>
            </w:pPr>
            <w:r>
              <w:rPr>
                <w:rFonts w:cs="Arial"/>
              </w:rPr>
            </w:r>
          </w:p>
        </w:tc>
        <w:tc>
          <w:tcPr>
            <w:tcW w:w="1440" w:type="dxa"/>
            <w:tcBorders/>
          </w:tcPr>
          <w:p>
            <w:pPr>
              <w:pStyle w:val="Table"/>
              <w:snapToGrid w:val="false"/>
              <w:jc w:val="center"/>
              <w:rPr>
                <w:rFonts w:cs="Arial"/>
              </w:rPr>
            </w:pPr>
            <w:r>
              <w:rPr>
                <w:rFonts w:cs="Arial"/>
              </w:rPr>
            </w:r>
          </w:p>
        </w:tc>
        <w:tc>
          <w:tcPr>
            <w:tcW w:w="1440" w:type="dxa"/>
            <w:tcBorders/>
          </w:tcPr>
          <w:p>
            <w:pPr>
              <w:pStyle w:val="Table"/>
              <w:snapToGrid w:val="false"/>
              <w:jc w:val="center"/>
              <w:rPr>
                <w:rFonts w:cs="Arial"/>
              </w:rPr>
            </w:pPr>
            <w:r>
              <w:rPr>
                <w:rFonts w:cs="Arial"/>
              </w:rPr>
            </w:r>
          </w:p>
        </w:tc>
        <w:tc>
          <w:tcPr>
            <w:tcW w:w="1440" w:type="dxa"/>
            <w:tcBorders/>
          </w:tcPr>
          <w:p>
            <w:pPr>
              <w:pStyle w:val="Table"/>
              <w:snapToGrid w:val="false"/>
              <w:jc w:val="center"/>
              <w:rPr>
                <w:rFonts w:cs="Arial"/>
              </w:rPr>
            </w:pPr>
            <w:r>
              <w:rPr>
                <w:rFonts w:cs="Arial"/>
              </w:rPr>
            </w:r>
          </w:p>
        </w:tc>
      </w:tr>
      <w:tr>
        <w:trPr/>
        <w:tc>
          <w:tcPr>
            <w:tcW w:w="704" w:type="dxa"/>
            <w:tcBorders/>
          </w:tcPr>
          <w:p>
            <w:pPr>
              <w:pStyle w:val="Table"/>
              <w:pBdr>
                <w:bottom w:val="single" w:sz="6" w:space="1" w:color="000000"/>
              </w:pBdr>
              <w:jc w:val="center"/>
              <w:rPr>
                <w:rFonts w:cs="Arial"/>
              </w:rPr>
            </w:pPr>
            <w:r>
              <w:rPr>
                <w:rFonts w:cs="Arial"/>
              </w:rPr>
              <w:t>No.</w:t>
            </w:r>
          </w:p>
        </w:tc>
        <w:tc>
          <w:tcPr>
            <w:tcW w:w="2160" w:type="dxa"/>
            <w:tcBorders/>
          </w:tcPr>
          <w:p>
            <w:pPr>
              <w:pStyle w:val="Table"/>
              <w:snapToGrid w:val="false"/>
              <w:jc w:val="center"/>
              <w:rPr>
                <w:rFonts w:cs="Arial"/>
              </w:rPr>
            </w:pPr>
            <w:r>
              <w:rPr>
                <w:rFonts w:cs="Arial"/>
              </w:rPr>
            </w:r>
          </w:p>
        </w:tc>
        <w:tc>
          <w:tcPr>
            <w:tcW w:w="1440" w:type="dxa"/>
            <w:tcBorders/>
          </w:tcPr>
          <w:p>
            <w:pPr>
              <w:pStyle w:val="Table"/>
              <w:pBdr>
                <w:bottom w:val="single" w:sz="6" w:space="1" w:color="000000"/>
              </w:pBdr>
              <w:jc w:val="center"/>
              <w:rPr>
                <w:rFonts w:cs="Arial"/>
              </w:rPr>
            </w:pPr>
            <w:r>
              <w:rPr>
                <w:rFonts w:cs="Arial"/>
              </w:rPr>
              <w:t>1999</w:t>
            </w:r>
          </w:p>
        </w:tc>
        <w:tc>
          <w:tcPr>
            <w:tcW w:w="1440" w:type="dxa"/>
            <w:tcBorders/>
          </w:tcPr>
          <w:p>
            <w:pPr>
              <w:pStyle w:val="Table"/>
              <w:pBdr>
                <w:bottom w:val="single" w:sz="6" w:space="1" w:color="000000"/>
              </w:pBdr>
              <w:jc w:val="center"/>
              <w:rPr>
                <w:rFonts w:cs="Arial"/>
              </w:rPr>
            </w:pPr>
            <w:r>
              <w:rPr>
                <w:rFonts w:cs="Arial"/>
              </w:rPr>
              <w:t>2000</w:t>
            </w:r>
          </w:p>
        </w:tc>
        <w:tc>
          <w:tcPr>
            <w:tcW w:w="1440" w:type="dxa"/>
            <w:tcBorders/>
          </w:tcPr>
          <w:p>
            <w:pPr>
              <w:pStyle w:val="Table"/>
              <w:pBdr>
                <w:bottom w:val="single" w:sz="6" w:space="1" w:color="000000"/>
              </w:pBdr>
              <w:jc w:val="center"/>
              <w:rPr>
                <w:rFonts w:cs="Arial"/>
              </w:rPr>
            </w:pPr>
            <w:r>
              <w:rPr>
                <w:rFonts w:cs="Arial"/>
              </w:rPr>
              <w:t>Increase</w:t>
            </w:r>
          </w:p>
        </w:tc>
      </w:tr>
      <w:tr>
        <w:trPr/>
        <w:tc>
          <w:tcPr>
            <w:tcW w:w="704" w:type="dxa"/>
            <w:tcBorders/>
          </w:tcPr>
          <w:p>
            <w:pPr>
              <w:pStyle w:val="Table"/>
              <w:snapToGrid w:val="false"/>
              <w:jc w:val="center"/>
              <w:rPr>
                <w:rFonts w:ascii="Times New Roman" w:hAnsi="Times New Roman" w:cs="Arial"/>
                <w:color w:val="000000"/>
                <w:sz w:val="20"/>
              </w:rPr>
            </w:pPr>
            <w:r>
              <w:rPr>
                <w:rFonts w:cs="Arial" w:ascii="Times New Roman" w:hAnsi="Times New Roman"/>
                <w:color w:val="000000"/>
                <w:sz w:val="20"/>
              </w:rPr>
            </w:r>
          </w:p>
        </w:tc>
        <w:tc>
          <w:tcPr>
            <w:tcW w:w="2160" w:type="dxa"/>
            <w:tcBorders/>
          </w:tcPr>
          <w:p>
            <w:pPr>
              <w:pStyle w:val="Table"/>
              <w:snapToGrid w:val="false"/>
              <w:jc w:val="center"/>
              <w:rPr>
                <w:rFonts w:cs="Arial"/>
              </w:rPr>
            </w:pPr>
            <w:r>
              <w:rPr>
                <w:rFonts w:cs="Arial"/>
              </w:rPr>
            </w:r>
          </w:p>
        </w:tc>
        <w:tc>
          <w:tcPr>
            <w:tcW w:w="1440" w:type="dxa"/>
            <w:tcBorders/>
          </w:tcPr>
          <w:p>
            <w:pPr>
              <w:pStyle w:val="Table"/>
              <w:jc w:val="center"/>
              <w:rPr>
                <w:rFonts w:cs="Arial"/>
              </w:rPr>
            </w:pPr>
            <w:r>
              <w:rPr>
                <w:rFonts w:cs="Arial"/>
              </w:rPr>
              <w:t>(cents/kWh)</w:t>
            </w:r>
          </w:p>
        </w:tc>
        <w:tc>
          <w:tcPr>
            <w:tcW w:w="1440" w:type="dxa"/>
            <w:tcBorders/>
          </w:tcPr>
          <w:p>
            <w:pPr>
              <w:pStyle w:val="Table"/>
              <w:jc w:val="center"/>
              <w:rPr>
                <w:rFonts w:cs="Arial"/>
              </w:rPr>
            </w:pPr>
            <w:r>
              <w:rPr>
                <w:rFonts w:cs="Arial"/>
              </w:rPr>
              <w:t>(cents/kWh)</w:t>
            </w:r>
          </w:p>
        </w:tc>
        <w:tc>
          <w:tcPr>
            <w:tcW w:w="1440" w:type="dxa"/>
            <w:tcBorders/>
          </w:tcPr>
          <w:p>
            <w:pPr>
              <w:pStyle w:val="Table"/>
              <w:snapToGrid w:val="false"/>
              <w:jc w:val="center"/>
              <w:rPr>
                <w:rFonts w:cs="Arial"/>
              </w:rPr>
            </w:pPr>
            <w:r>
              <w:rPr>
                <w:rFonts w:cs="Arial"/>
              </w:rPr>
            </w:r>
          </w:p>
        </w:tc>
      </w:tr>
      <w:tr>
        <w:trPr/>
        <w:tc>
          <w:tcPr>
            <w:tcW w:w="704" w:type="dxa"/>
            <w:tcBorders/>
          </w:tcPr>
          <w:p>
            <w:pPr>
              <w:pStyle w:val="Table-FirstRow"/>
              <w:spacing w:before="120" w:after="0"/>
              <w:jc w:val="center"/>
              <w:rPr>
                <w:rFonts w:cs="Arial"/>
              </w:rPr>
            </w:pPr>
            <w:r>
              <w:rPr>
                <w:rFonts w:cs="Arial"/>
              </w:rPr>
              <w:t>1</w:t>
            </w:r>
          </w:p>
        </w:tc>
        <w:tc>
          <w:tcPr>
            <w:tcW w:w="2160" w:type="dxa"/>
            <w:tcBorders/>
          </w:tcPr>
          <w:p>
            <w:pPr>
              <w:pStyle w:val="Table-FirstRow"/>
              <w:spacing w:before="120" w:after="0"/>
              <w:rPr>
                <w:rFonts w:cs="Arial"/>
              </w:rPr>
            </w:pPr>
            <w:r>
              <w:rPr>
                <w:rFonts w:cs="Arial"/>
              </w:rPr>
              <w:t>January</w:t>
            </w:r>
          </w:p>
        </w:tc>
        <w:tc>
          <w:tcPr>
            <w:tcW w:w="1440" w:type="dxa"/>
            <w:tcBorders/>
          </w:tcPr>
          <w:p>
            <w:pPr>
              <w:pStyle w:val="Table-FirstRow"/>
              <w:tabs>
                <w:tab w:val="clear" w:pos="720"/>
                <w:tab w:val="decimal" w:pos="522" w:leader="none"/>
              </w:tabs>
              <w:spacing w:before="120" w:after="0"/>
              <w:rPr>
                <w:rFonts w:cs="Arial"/>
              </w:rPr>
            </w:pPr>
            <w:r>
              <w:rPr>
                <w:rFonts w:cs="Arial"/>
              </w:rPr>
              <w:t>3.15</w:t>
            </w:r>
          </w:p>
        </w:tc>
        <w:tc>
          <w:tcPr>
            <w:tcW w:w="1440" w:type="dxa"/>
            <w:tcBorders/>
          </w:tcPr>
          <w:p>
            <w:pPr>
              <w:pStyle w:val="Table-FirstRow"/>
              <w:tabs>
                <w:tab w:val="clear" w:pos="720"/>
                <w:tab w:val="decimal" w:pos="522" w:leader="none"/>
              </w:tabs>
              <w:spacing w:before="120" w:after="0"/>
              <w:rPr>
                <w:rFonts w:cs="Arial"/>
              </w:rPr>
            </w:pPr>
            <w:r>
              <w:rPr>
                <w:rFonts w:cs="Arial"/>
              </w:rPr>
              <w:t>4.38</w:t>
            </w:r>
          </w:p>
        </w:tc>
        <w:tc>
          <w:tcPr>
            <w:tcW w:w="1440" w:type="dxa"/>
            <w:tcBorders/>
          </w:tcPr>
          <w:p>
            <w:pPr>
              <w:pStyle w:val="Table-FirstRow"/>
              <w:tabs>
                <w:tab w:val="clear" w:pos="720"/>
                <w:tab w:val="decimal" w:pos="702" w:leader="none"/>
              </w:tabs>
              <w:spacing w:before="120" w:after="0"/>
              <w:rPr>
                <w:rFonts w:cs="Arial"/>
              </w:rPr>
            </w:pPr>
            <w:r>
              <w:rPr>
                <w:rFonts w:cs="Arial"/>
              </w:rPr>
              <w:t>39%</w:t>
            </w:r>
          </w:p>
        </w:tc>
      </w:tr>
      <w:tr>
        <w:trPr/>
        <w:tc>
          <w:tcPr>
            <w:tcW w:w="704" w:type="dxa"/>
            <w:tcBorders/>
          </w:tcPr>
          <w:p>
            <w:pPr>
              <w:pStyle w:val="Table"/>
              <w:jc w:val="center"/>
              <w:rPr>
                <w:rFonts w:cs="Arial"/>
              </w:rPr>
            </w:pPr>
            <w:r>
              <w:rPr>
                <w:rFonts w:cs="Arial"/>
              </w:rPr>
              <w:t>2</w:t>
            </w:r>
          </w:p>
        </w:tc>
        <w:tc>
          <w:tcPr>
            <w:tcW w:w="2160" w:type="dxa"/>
            <w:tcBorders/>
          </w:tcPr>
          <w:p>
            <w:pPr>
              <w:pStyle w:val="Table"/>
              <w:rPr>
                <w:rFonts w:cs="Arial"/>
              </w:rPr>
            </w:pPr>
            <w:r>
              <w:rPr>
                <w:rFonts w:cs="Arial"/>
              </w:rPr>
              <w:t>February</w:t>
            </w:r>
          </w:p>
        </w:tc>
        <w:tc>
          <w:tcPr>
            <w:tcW w:w="1440" w:type="dxa"/>
            <w:tcBorders/>
          </w:tcPr>
          <w:p>
            <w:pPr>
              <w:pStyle w:val="Table"/>
              <w:tabs>
                <w:tab w:val="clear" w:pos="720"/>
                <w:tab w:val="decimal" w:pos="522" w:leader="none"/>
              </w:tabs>
              <w:rPr>
                <w:rFonts w:cs="Arial"/>
              </w:rPr>
            </w:pPr>
            <w:r>
              <w:rPr>
                <w:rFonts w:cs="Arial"/>
              </w:rPr>
              <w:t>2.87</w:t>
            </w:r>
          </w:p>
        </w:tc>
        <w:tc>
          <w:tcPr>
            <w:tcW w:w="1440" w:type="dxa"/>
            <w:tcBorders/>
          </w:tcPr>
          <w:p>
            <w:pPr>
              <w:pStyle w:val="Table"/>
              <w:tabs>
                <w:tab w:val="clear" w:pos="720"/>
                <w:tab w:val="decimal" w:pos="522" w:leader="none"/>
              </w:tabs>
              <w:rPr>
                <w:rFonts w:cs="Arial"/>
              </w:rPr>
            </w:pPr>
            <w:r>
              <w:rPr>
                <w:rFonts w:cs="Arial"/>
              </w:rPr>
              <w:t>3.78</w:t>
            </w:r>
          </w:p>
        </w:tc>
        <w:tc>
          <w:tcPr>
            <w:tcW w:w="1440" w:type="dxa"/>
            <w:tcBorders/>
          </w:tcPr>
          <w:p>
            <w:pPr>
              <w:pStyle w:val="Table"/>
              <w:tabs>
                <w:tab w:val="clear" w:pos="720"/>
                <w:tab w:val="decimal" w:pos="702" w:leader="none"/>
              </w:tabs>
              <w:rPr>
                <w:rFonts w:cs="Arial"/>
              </w:rPr>
            </w:pPr>
            <w:r>
              <w:rPr>
                <w:rFonts w:cs="Arial"/>
              </w:rPr>
              <w:t>32%</w:t>
            </w:r>
          </w:p>
        </w:tc>
      </w:tr>
      <w:tr>
        <w:trPr/>
        <w:tc>
          <w:tcPr>
            <w:tcW w:w="704" w:type="dxa"/>
            <w:tcBorders/>
          </w:tcPr>
          <w:p>
            <w:pPr>
              <w:pStyle w:val="Table"/>
              <w:jc w:val="center"/>
              <w:rPr>
                <w:rFonts w:cs="Arial"/>
              </w:rPr>
            </w:pPr>
            <w:r>
              <w:rPr>
                <w:rFonts w:cs="Arial"/>
              </w:rPr>
              <w:t>3</w:t>
            </w:r>
          </w:p>
        </w:tc>
        <w:tc>
          <w:tcPr>
            <w:tcW w:w="2160" w:type="dxa"/>
            <w:tcBorders/>
          </w:tcPr>
          <w:p>
            <w:pPr>
              <w:pStyle w:val="Table"/>
              <w:rPr>
                <w:rFonts w:cs="Arial"/>
              </w:rPr>
            </w:pPr>
            <w:r>
              <w:rPr>
                <w:rFonts w:cs="Arial"/>
              </w:rPr>
              <w:t>March</w:t>
            </w:r>
          </w:p>
        </w:tc>
        <w:tc>
          <w:tcPr>
            <w:tcW w:w="1440" w:type="dxa"/>
            <w:tcBorders/>
          </w:tcPr>
          <w:p>
            <w:pPr>
              <w:pStyle w:val="Table"/>
              <w:tabs>
                <w:tab w:val="clear" w:pos="720"/>
                <w:tab w:val="decimal" w:pos="522" w:leader="none"/>
              </w:tabs>
              <w:rPr>
                <w:rFonts w:cs="Arial"/>
              </w:rPr>
            </w:pPr>
            <w:r>
              <w:rPr>
                <w:rFonts w:cs="Arial"/>
              </w:rPr>
              <w:t>2.87</w:t>
            </w:r>
          </w:p>
        </w:tc>
        <w:tc>
          <w:tcPr>
            <w:tcW w:w="1440" w:type="dxa"/>
            <w:tcBorders/>
          </w:tcPr>
          <w:p>
            <w:pPr>
              <w:pStyle w:val="Table"/>
              <w:tabs>
                <w:tab w:val="clear" w:pos="720"/>
                <w:tab w:val="decimal" w:pos="522" w:leader="none"/>
              </w:tabs>
              <w:rPr>
                <w:rFonts w:cs="Arial"/>
              </w:rPr>
            </w:pPr>
            <w:r>
              <w:rPr>
                <w:rFonts w:cs="Arial"/>
              </w:rPr>
              <w:t>3.24</w:t>
            </w:r>
          </w:p>
        </w:tc>
        <w:tc>
          <w:tcPr>
            <w:tcW w:w="1440" w:type="dxa"/>
            <w:tcBorders/>
          </w:tcPr>
          <w:p>
            <w:pPr>
              <w:pStyle w:val="Table"/>
              <w:tabs>
                <w:tab w:val="clear" w:pos="720"/>
                <w:tab w:val="decimal" w:pos="702" w:leader="none"/>
              </w:tabs>
              <w:rPr>
                <w:rFonts w:cs="Arial"/>
              </w:rPr>
            </w:pPr>
            <w:r>
              <w:rPr>
                <w:rFonts w:cs="Arial"/>
              </w:rPr>
              <w:t>13%</w:t>
            </w:r>
          </w:p>
        </w:tc>
      </w:tr>
      <w:tr>
        <w:trPr/>
        <w:tc>
          <w:tcPr>
            <w:tcW w:w="704" w:type="dxa"/>
            <w:tcBorders/>
          </w:tcPr>
          <w:p>
            <w:pPr>
              <w:pStyle w:val="Table"/>
              <w:jc w:val="center"/>
              <w:rPr>
                <w:rFonts w:cs="Arial"/>
              </w:rPr>
            </w:pPr>
            <w:r>
              <w:rPr>
                <w:rFonts w:cs="Arial"/>
              </w:rPr>
              <w:t>4</w:t>
            </w:r>
          </w:p>
        </w:tc>
        <w:tc>
          <w:tcPr>
            <w:tcW w:w="2160" w:type="dxa"/>
            <w:tcBorders/>
          </w:tcPr>
          <w:p>
            <w:pPr>
              <w:pStyle w:val="Table"/>
              <w:rPr>
                <w:rFonts w:cs="Arial"/>
              </w:rPr>
            </w:pPr>
            <w:r>
              <w:rPr>
                <w:rFonts w:cs="Arial"/>
              </w:rPr>
              <w:t>April</w:t>
            </w:r>
          </w:p>
        </w:tc>
        <w:tc>
          <w:tcPr>
            <w:tcW w:w="1440" w:type="dxa"/>
            <w:tcBorders/>
          </w:tcPr>
          <w:p>
            <w:pPr>
              <w:pStyle w:val="Table"/>
              <w:tabs>
                <w:tab w:val="clear" w:pos="720"/>
                <w:tab w:val="decimal" w:pos="522" w:leader="none"/>
              </w:tabs>
              <w:rPr>
                <w:rFonts w:cs="Arial"/>
              </w:rPr>
            </w:pPr>
            <w:r>
              <w:rPr>
                <w:rFonts w:cs="Arial"/>
              </w:rPr>
              <w:t>2.90</w:t>
            </w:r>
          </w:p>
        </w:tc>
        <w:tc>
          <w:tcPr>
            <w:tcW w:w="1440" w:type="dxa"/>
            <w:tcBorders/>
          </w:tcPr>
          <w:p>
            <w:pPr>
              <w:pStyle w:val="Table"/>
              <w:tabs>
                <w:tab w:val="clear" w:pos="720"/>
                <w:tab w:val="decimal" w:pos="522" w:leader="none"/>
              </w:tabs>
              <w:rPr>
                <w:rFonts w:cs="Arial"/>
              </w:rPr>
            </w:pPr>
            <w:r>
              <w:rPr>
                <w:rFonts w:cs="Arial"/>
              </w:rPr>
              <w:t>3.28</w:t>
            </w:r>
          </w:p>
        </w:tc>
        <w:tc>
          <w:tcPr>
            <w:tcW w:w="1440" w:type="dxa"/>
            <w:tcBorders/>
          </w:tcPr>
          <w:p>
            <w:pPr>
              <w:pStyle w:val="Table"/>
              <w:tabs>
                <w:tab w:val="clear" w:pos="720"/>
                <w:tab w:val="decimal" w:pos="702" w:leader="none"/>
              </w:tabs>
              <w:rPr>
                <w:rFonts w:cs="Arial"/>
              </w:rPr>
            </w:pPr>
            <w:r>
              <w:rPr>
                <w:rFonts w:cs="Arial"/>
              </w:rPr>
              <w:t>13%</w:t>
            </w:r>
          </w:p>
        </w:tc>
      </w:tr>
      <w:tr>
        <w:trPr/>
        <w:tc>
          <w:tcPr>
            <w:tcW w:w="704" w:type="dxa"/>
            <w:tcBorders/>
          </w:tcPr>
          <w:p>
            <w:pPr>
              <w:pStyle w:val="Table"/>
              <w:jc w:val="center"/>
              <w:rPr>
                <w:rFonts w:cs="Arial"/>
              </w:rPr>
            </w:pPr>
            <w:r>
              <w:rPr>
                <w:rFonts w:cs="Arial"/>
              </w:rPr>
              <w:t>5</w:t>
            </w:r>
          </w:p>
        </w:tc>
        <w:tc>
          <w:tcPr>
            <w:tcW w:w="2160" w:type="dxa"/>
            <w:tcBorders/>
          </w:tcPr>
          <w:p>
            <w:pPr>
              <w:pStyle w:val="Table"/>
              <w:rPr>
                <w:rFonts w:cs="Arial"/>
              </w:rPr>
            </w:pPr>
            <w:r>
              <w:rPr>
                <w:rFonts w:cs="Arial"/>
              </w:rPr>
              <w:t>May</w:t>
            </w:r>
          </w:p>
        </w:tc>
        <w:tc>
          <w:tcPr>
            <w:tcW w:w="1440" w:type="dxa"/>
            <w:tcBorders/>
          </w:tcPr>
          <w:p>
            <w:pPr>
              <w:pStyle w:val="Table"/>
              <w:tabs>
                <w:tab w:val="clear" w:pos="720"/>
                <w:tab w:val="decimal" w:pos="522" w:leader="none"/>
              </w:tabs>
              <w:rPr>
                <w:rFonts w:cs="Arial"/>
              </w:rPr>
            </w:pPr>
            <w:r>
              <w:rPr>
                <w:rFonts w:cs="Arial"/>
              </w:rPr>
              <w:t>2.82</w:t>
            </w:r>
          </w:p>
        </w:tc>
        <w:tc>
          <w:tcPr>
            <w:tcW w:w="1440" w:type="dxa"/>
            <w:tcBorders/>
          </w:tcPr>
          <w:p>
            <w:pPr>
              <w:pStyle w:val="Table"/>
              <w:tabs>
                <w:tab w:val="clear" w:pos="720"/>
                <w:tab w:val="decimal" w:pos="522" w:leader="none"/>
              </w:tabs>
              <w:rPr>
                <w:rFonts w:cs="Arial"/>
              </w:rPr>
            </w:pPr>
            <w:r>
              <w:rPr>
                <w:rFonts w:cs="Arial"/>
              </w:rPr>
              <w:t>6.08</w:t>
            </w:r>
          </w:p>
        </w:tc>
        <w:tc>
          <w:tcPr>
            <w:tcW w:w="1440" w:type="dxa"/>
            <w:tcBorders/>
          </w:tcPr>
          <w:p>
            <w:pPr>
              <w:pStyle w:val="Table"/>
              <w:tabs>
                <w:tab w:val="clear" w:pos="720"/>
                <w:tab w:val="decimal" w:pos="702" w:leader="none"/>
              </w:tabs>
              <w:rPr>
                <w:rFonts w:cs="Arial"/>
              </w:rPr>
            </w:pPr>
            <w:r>
              <w:rPr>
                <w:rFonts w:cs="Arial"/>
              </w:rPr>
              <w:t>116%</w:t>
            </w:r>
          </w:p>
        </w:tc>
      </w:tr>
      <w:tr>
        <w:trPr/>
        <w:tc>
          <w:tcPr>
            <w:tcW w:w="704" w:type="dxa"/>
            <w:tcBorders/>
          </w:tcPr>
          <w:p>
            <w:pPr>
              <w:pStyle w:val="Table"/>
              <w:jc w:val="center"/>
              <w:rPr>
                <w:rFonts w:cs="Arial"/>
              </w:rPr>
            </w:pPr>
            <w:r>
              <w:rPr>
                <w:rFonts w:cs="Arial"/>
              </w:rPr>
              <w:t>6</w:t>
            </w:r>
          </w:p>
        </w:tc>
        <w:tc>
          <w:tcPr>
            <w:tcW w:w="2160" w:type="dxa"/>
            <w:tcBorders/>
          </w:tcPr>
          <w:p>
            <w:pPr>
              <w:pStyle w:val="Table"/>
              <w:rPr>
                <w:rFonts w:cs="Arial"/>
              </w:rPr>
            </w:pPr>
            <w:r>
              <w:rPr>
                <w:rFonts w:cs="Arial"/>
              </w:rPr>
              <w:t>June</w:t>
            </w:r>
          </w:p>
        </w:tc>
        <w:tc>
          <w:tcPr>
            <w:tcW w:w="1440" w:type="dxa"/>
            <w:tcBorders/>
          </w:tcPr>
          <w:p>
            <w:pPr>
              <w:pStyle w:val="Table"/>
              <w:tabs>
                <w:tab w:val="clear" w:pos="720"/>
                <w:tab w:val="decimal" w:pos="522" w:leader="none"/>
              </w:tabs>
              <w:rPr>
                <w:rFonts w:cs="Arial"/>
              </w:rPr>
            </w:pPr>
            <w:r>
              <w:rPr>
                <w:rFonts w:cs="Arial"/>
              </w:rPr>
              <w:t>2.95</w:t>
            </w:r>
          </w:p>
        </w:tc>
        <w:tc>
          <w:tcPr>
            <w:tcW w:w="1440" w:type="dxa"/>
            <w:tcBorders/>
          </w:tcPr>
          <w:p>
            <w:pPr>
              <w:pStyle w:val="Table"/>
              <w:tabs>
                <w:tab w:val="clear" w:pos="720"/>
                <w:tab w:val="decimal" w:pos="522" w:leader="none"/>
              </w:tabs>
              <w:rPr>
                <w:rFonts w:cs="Arial"/>
              </w:rPr>
            </w:pPr>
            <w:r>
              <w:rPr>
                <w:rFonts w:cs="Arial"/>
              </w:rPr>
              <w:t>16.33</w:t>
            </w:r>
          </w:p>
        </w:tc>
        <w:tc>
          <w:tcPr>
            <w:tcW w:w="1440" w:type="dxa"/>
            <w:tcBorders/>
          </w:tcPr>
          <w:p>
            <w:pPr>
              <w:pStyle w:val="Table"/>
              <w:tabs>
                <w:tab w:val="clear" w:pos="720"/>
                <w:tab w:val="decimal" w:pos="702" w:leader="none"/>
              </w:tabs>
              <w:rPr>
                <w:rFonts w:cs="Arial"/>
              </w:rPr>
            </w:pPr>
            <w:r>
              <w:rPr>
                <w:rFonts w:cs="Arial"/>
              </w:rPr>
              <w:t>454%</w:t>
            </w:r>
          </w:p>
        </w:tc>
      </w:tr>
      <w:tr>
        <w:trPr/>
        <w:tc>
          <w:tcPr>
            <w:tcW w:w="704" w:type="dxa"/>
            <w:tcBorders/>
          </w:tcPr>
          <w:p>
            <w:pPr>
              <w:pStyle w:val="Table"/>
              <w:jc w:val="center"/>
              <w:rPr>
                <w:rFonts w:cs="Arial"/>
              </w:rPr>
            </w:pPr>
            <w:r>
              <w:rPr>
                <w:rFonts w:cs="Arial"/>
              </w:rPr>
              <w:t>7</w:t>
            </w:r>
          </w:p>
        </w:tc>
        <w:tc>
          <w:tcPr>
            <w:tcW w:w="2160" w:type="dxa"/>
            <w:tcBorders/>
          </w:tcPr>
          <w:p>
            <w:pPr>
              <w:pStyle w:val="Table"/>
              <w:rPr>
                <w:rFonts w:cs="Arial"/>
              </w:rPr>
            </w:pPr>
            <w:r>
              <w:rPr>
                <w:rFonts w:cs="Arial"/>
              </w:rPr>
              <w:t>July</w:t>
            </w:r>
          </w:p>
        </w:tc>
        <w:tc>
          <w:tcPr>
            <w:tcW w:w="1440" w:type="dxa"/>
            <w:tcBorders/>
          </w:tcPr>
          <w:p>
            <w:pPr>
              <w:pStyle w:val="Table"/>
              <w:tabs>
                <w:tab w:val="clear" w:pos="720"/>
                <w:tab w:val="decimal" w:pos="522" w:leader="none"/>
              </w:tabs>
              <w:rPr>
                <w:rFonts w:cs="Arial"/>
              </w:rPr>
            </w:pPr>
            <w:r>
              <w:rPr>
                <w:rFonts w:cs="Arial"/>
              </w:rPr>
              <w:t>3.85</w:t>
            </w:r>
          </w:p>
        </w:tc>
        <w:tc>
          <w:tcPr>
            <w:tcW w:w="1440" w:type="dxa"/>
            <w:tcBorders/>
          </w:tcPr>
          <w:p>
            <w:pPr>
              <w:pStyle w:val="Table"/>
              <w:tabs>
                <w:tab w:val="clear" w:pos="720"/>
                <w:tab w:val="decimal" w:pos="522" w:leader="none"/>
              </w:tabs>
              <w:rPr>
                <w:rFonts w:cs="Arial"/>
              </w:rPr>
            </w:pPr>
            <w:r>
              <w:rPr>
                <w:rFonts w:cs="Arial"/>
              </w:rPr>
              <w:t>11.00</w:t>
            </w:r>
          </w:p>
        </w:tc>
        <w:tc>
          <w:tcPr>
            <w:tcW w:w="1440" w:type="dxa"/>
            <w:tcBorders/>
          </w:tcPr>
          <w:p>
            <w:pPr>
              <w:pStyle w:val="Table"/>
              <w:tabs>
                <w:tab w:val="clear" w:pos="720"/>
                <w:tab w:val="decimal" w:pos="702" w:leader="none"/>
              </w:tabs>
              <w:rPr>
                <w:rFonts w:cs="Arial"/>
              </w:rPr>
            </w:pPr>
            <w:r>
              <w:rPr>
                <w:rFonts w:cs="Arial"/>
              </w:rPr>
              <w:t>186%</w:t>
            </w:r>
          </w:p>
        </w:tc>
      </w:tr>
      <w:tr>
        <w:trPr/>
        <w:tc>
          <w:tcPr>
            <w:tcW w:w="704" w:type="dxa"/>
            <w:tcBorders/>
          </w:tcPr>
          <w:p>
            <w:pPr>
              <w:pStyle w:val="Table"/>
              <w:jc w:val="center"/>
              <w:rPr>
                <w:rFonts w:cs="Arial"/>
              </w:rPr>
            </w:pPr>
            <w:r>
              <w:rPr>
                <w:rFonts w:cs="Arial"/>
              </w:rPr>
              <w:t>8</w:t>
            </w:r>
          </w:p>
        </w:tc>
        <w:tc>
          <w:tcPr>
            <w:tcW w:w="2160" w:type="dxa"/>
            <w:tcBorders/>
          </w:tcPr>
          <w:p>
            <w:pPr>
              <w:pStyle w:val="Table"/>
              <w:rPr>
                <w:rFonts w:cs="Arial"/>
              </w:rPr>
            </w:pPr>
            <w:r>
              <w:rPr>
                <w:rFonts w:cs="Arial"/>
              </w:rPr>
              <w:t>August</w:t>
            </w:r>
          </w:p>
        </w:tc>
        <w:tc>
          <w:tcPr>
            <w:tcW w:w="1440" w:type="dxa"/>
            <w:tcBorders/>
          </w:tcPr>
          <w:p>
            <w:pPr>
              <w:pStyle w:val="Table"/>
              <w:tabs>
                <w:tab w:val="clear" w:pos="720"/>
                <w:tab w:val="decimal" w:pos="522" w:leader="none"/>
              </w:tabs>
              <w:rPr>
                <w:rFonts w:cs="Arial"/>
              </w:rPr>
            </w:pPr>
            <w:r>
              <w:rPr>
                <w:rFonts w:cs="Arial"/>
              </w:rPr>
              <w:t>4.10</w:t>
            </w:r>
          </w:p>
        </w:tc>
        <w:tc>
          <w:tcPr>
            <w:tcW w:w="1440" w:type="dxa"/>
            <w:tcBorders/>
          </w:tcPr>
          <w:p>
            <w:pPr>
              <w:pStyle w:val="Table"/>
              <w:tabs>
                <w:tab w:val="clear" w:pos="720"/>
                <w:tab w:val="decimal" w:pos="522" w:leader="none"/>
              </w:tabs>
              <w:rPr>
                <w:rFonts w:cs="Arial"/>
              </w:rPr>
            </w:pPr>
            <w:r>
              <w:rPr>
                <w:rFonts w:cs="Arial"/>
              </w:rPr>
              <w:t>18.70</w:t>
            </w:r>
          </w:p>
        </w:tc>
        <w:tc>
          <w:tcPr>
            <w:tcW w:w="1440" w:type="dxa"/>
            <w:tcBorders/>
          </w:tcPr>
          <w:p>
            <w:pPr>
              <w:pStyle w:val="Table"/>
              <w:tabs>
                <w:tab w:val="clear" w:pos="720"/>
                <w:tab w:val="decimal" w:pos="702" w:leader="none"/>
              </w:tabs>
              <w:rPr>
                <w:rFonts w:cs="Arial"/>
              </w:rPr>
            </w:pPr>
            <w:r>
              <w:rPr>
                <w:rFonts w:cs="Arial"/>
              </w:rPr>
              <w:t>356%</w:t>
            </w:r>
          </w:p>
        </w:tc>
      </w:tr>
      <w:tr>
        <w:trPr/>
        <w:tc>
          <w:tcPr>
            <w:tcW w:w="704" w:type="dxa"/>
            <w:tcBorders/>
          </w:tcPr>
          <w:p>
            <w:pPr>
              <w:pStyle w:val="Table"/>
              <w:jc w:val="center"/>
              <w:rPr>
                <w:rFonts w:cs="Arial"/>
              </w:rPr>
            </w:pPr>
            <w:r>
              <w:rPr>
                <w:rFonts w:cs="Arial"/>
              </w:rPr>
              <w:t>9</w:t>
            </w:r>
          </w:p>
        </w:tc>
        <w:tc>
          <w:tcPr>
            <w:tcW w:w="2160" w:type="dxa"/>
            <w:tcBorders/>
          </w:tcPr>
          <w:p>
            <w:pPr>
              <w:pStyle w:val="Table"/>
              <w:rPr>
                <w:rFonts w:cs="Arial"/>
              </w:rPr>
            </w:pPr>
            <w:r>
              <w:rPr>
                <w:rFonts w:cs="Arial"/>
              </w:rPr>
              <w:t>September</w:t>
            </w:r>
          </w:p>
        </w:tc>
        <w:tc>
          <w:tcPr>
            <w:tcW w:w="1440" w:type="dxa"/>
            <w:tcBorders/>
          </w:tcPr>
          <w:p>
            <w:pPr>
              <w:pStyle w:val="Table"/>
              <w:tabs>
                <w:tab w:val="clear" w:pos="720"/>
                <w:tab w:val="decimal" w:pos="522" w:leader="none"/>
              </w:tabs>
              <w:rPr>
                <w:rFonts w:cs="Arial"/>
              </w:rPr>
            </w:pPr>
            <w:r>
              <w:rPr>
                <w:rFonts w:cs="Arial"/>
              </w:rPr>
              <w:t>4.09</w:t>
            </w:r>
          </w:p>
        </w:tc>
        <w:tc>
          <w:tcPr>
            <w:tcW w:w="1440" w:type="dxa"/>
            <w:tcBorders/>
          </w:tcPr>
          <w:p>
            <w:pPr>
              <w:pStyle w:val="Table"/>
              <w:tabs>
                <w:tab w:val="clear" w:pos="720"/>
                <w:tab w:val="decimal" w:pos="522" w:leader="none"/>
              </w:tabs>
              <w:rPr>
                <w:rFonts w:cs="Arial"/>
              </w:rPr>
            </w:pPr>
            <w:r>
              <w:rPr>
                <w:rFonts w:cs="Arial"/>
              </w:rPr>
              <w:t>13.82</w:t>
            </w:r>
          </w:p>
        </w:tc>
        <w:tc>
          <w:tcPr>
            <w:tcW w:w="1440" w:type="dxa"/>
            <w:tcBorders/>
          </w:tcPr>
          <w:p>
            <w:pPr>
              <w:pStyle w:val="Table"/>
              <w:tabs>
                <w:tab w:val="clear" w:pos="720"/>
                <w:tab w:val="decimal" w:pos="702" w:leader="none"/>
              </w:tabs>
              <w:rPr>
                <w:rFonts w:cs="Arial"/>
              </w:rPr>
            </w:pPr>
            <w:r>
              <w:rPr>
                <w:rFonts w:cs="Arial"/>
              </w:rPr>
              <w:t>238%</w:t>
            </w:r>
          </w:p>
        </w:tc>
      </w:tr>
      <w:tr>
        <w:trPr/>
        <w:tc>
          <w:tcPr>
            <w:tcW w:w="704" w:type="dxa"/>
            <w:tcBorders/>
          </w:tcPr>
          <w:p>
            <w:pPr>
              <w:pStyle w:val="Table"/>
              <w:jc w:val="center"/>
              <w:rPr>
                <w:rFonts w:cs="Arial"/>
              </w:rPr>
            </w:pPr>
            <w:r>
              <w:rPr>
                <w:rFonts w:cs="Arial"/>
              </w:rPr>
              <w:t>10</w:t>
            </w:r>
          </w:p>
        </w:tc>
        <w:tc>
          <w:tcPr>
            <w:tcW w:w="2160" w:type="dxa"/>
            <w:tcBorders/>
          </w:tcPr>
          <w:p>
            <w:pPr>
              <w:pStyle w:val="Table"/>
              <w:rPr>
                <w:rFonts w:cs="Arial"/>
              </w:rPr>
            </w:pPr>
            <w:r>
              <w:rPr>
                <w:rFonts w:cs="Arial"/>
              </w:rPr>
              <w:t>October</w:t>
            </w:r>
          </w:p>
        </w:tc>
        <w:tc>
          <w:tcPr>
            <w:tcW w:w="1440" w:type="dxa"/>
            <w:tcBorders/>
          </w:tcPr>
          <w:p>
            <w:pPr>
              <w:pStyle w:val="Table"/>
              <w:tabs>
                <w:tab w:val="clear" w:pos="720"/>
                <w:tab w:val="decimal" w:pos="522" w:leader="none"/>
              </w:tabs>
              <w:rPr>
                <w:rFonts w:cs="Arial"/>
              </w:rPr>
            </w:pPr>
            <w:r>
              <w:rPr>
                <w:rFonts w:cs="Arial"/>
              </w:rPr>
              <w:t>6.18</w:t>
            </w:r>
          </w:p>
        </w:tc>
        <w:tc>
          <w:tcPr>
            <w:tcW w:w="1440" w:type="dxa"/>
            <w:tcBorders/>
          </w:tcPr>
          <w:p>
            <w:pPr>
              <w:pStyle w:val="Table"/>
              <w:tabs>
                <w:tab w:val="clear" w:pos="720"/>
                <w:tab w:val="decimal" w:pos="522" w:leader="none"/>
              </w:tabs>
              <w:rPr>
                <w:rFonts w:cs="Arial"/>
              </w:rPr>
            </w:pPr>
            <w:r>
              <w:rPr>
                <w:rFonts w:cs="Arial"/>
              </w:rPr>
              <w:t>13.62</w:t>
            </w:r>
          </w:p>
        </w:tc>
        <w:tc>
          <w:tcPr>
            <w:tcW w:w="1440" w:type="dxa"/>
            <w:tcBorders/>
          </w:tcPr>
          <w:p>
            <w:pPr>
              <w:pStyle w:val="Table"/>
              <w:tabs>
                <w:tab w:val="clear" w:pos="720"/>
                <w:tab w:val="decimal" w:pos="702" w:leader="none"/>
              </w:tabs>
              <w:rPr>
                <w:rFonts w:cs="Arial"/>
              </w:rPr>
            </w:pPr>
            <w:r>
              <w:rPr>
                <w:rFonts w:cs="Arial"/>
              </w:rPr>
              <w:t>120%</w:t>
            </w:r>
          </w:p>
        </w:tc>
      </w:tr>
      <w:tr>
        <w:trPr/>
        <w:tc>
          <w:tcPr>
            <w:tcW w:w="704" w:type="dxa"/>
            <w:tcBorders/>
          </w:tcPr>
          <w:p>
            <w:pPr>
              <w:pStyle w:val="Table"/>
              <w:jc w:val="center"/>
              <w:rPr>
                <w:rFonts w:cs="Arial"/>
              </w:rPr>
            </w:pPr>
            <w:r>
              <w:rPr>
                <w:rFonts w:cs="Arial"/>
              </w:rPr>
              <w:t>11</w:t>
            </w:r>
          </w:p>
        </w:tc>
        <w:tc>
          <w:tcPr>
            <w:tcW w:w="2160" w:type="dxa"/>
            <w:tcBorders/>
          </w:tcPr>
          <w:p>
            <w:pPr>
              <w:pStyle w:val="Table"/>
              <w:rPr>
                <w:rFonts w:cs="Arial"/>
              </w:rPr>
            </w:pPr>
            <w:r>
              <w:rPr>
                <w:rFonts w:cs="Arial"/>
              </w:rPr>
              <w:t>November</w:t>
            </w:r>
          </w:p>
        </w:tc>
        <w:tc>
          <w:tcPr>
            <w:tcW w:w="1440" w:type="dxa"/>
            <w:tcBorders/>
          </w:tcPr>
          <w:p>
            <w:pPr>
              <w:pStyle w:val="Table"/>
              <w:tabs>
                <w:tab w:val="clear" w:pos="720"/>
                <w:tab w:val="decimal" w:pos="522" w:leader="none"/>
              </w:tabs>
              <w:rPr>
                <w:rFonts w:cs="Arial"/>
              </w:rPr>
            </w:pPr>
            <w:r>
              <w:rPr>
                <w:rFonts w:cs="Arial"/>
              </w:rPr>
              <w:t>4.46</w:t>
            </w:r>
          </w:p>
        </w:tc>
        <w:tc>
          <w:tcPr>
            <w:tcW w:w="1440" w:type="dxa"/>
            <w:tcBorders/>
          </w:tcPr>
          <w:p>
            <w:pPr>
              <w:pStyle w:val="Table"/>
              <w:tabs>
                <w:tab w:val="clear" w:pos="720"/>
                <w:tab w:val="left" w:pos="350" w:leader="none"/>
              </w:tabs>
              <w:jc w:val="center"/>
              <w:rPr>
                <w:rFonts w:cs="Arial"/>
              </w:rPr>
            </w:pPr>
            <w:r>
              <w:rPr>
                <w:rFonts w:cs="Arial"/>
              </w:rPr>
              <w:t>*</w:t>
            </w:r>
          </w:p>
        </w:tc>
        <w:tc>
          <w:tcPr>
            <w:tcW w:w="1440" w:type="dxa"/>
            <w:tcBorders/>
          </w:tcPr>
          <w:p>
            <w:pPr>
              <w:pStyle w:val="Table"/>
              <w:tabs>
                <w:tab w:val="clear" w:pos="720"/>
                <w:tab w:val="decimal" w:pos="702" w:leader="none"/>
              </w:tabs>
              <w:snapToGrid w:val="false"/>
              <w:rPr>
                <w:rFonts w:cs="Arial"/>
              </w:rPr>
            </w:pPr>
            <w:r>
              <w:rPr>
                <w:rFonts w:cs="Arial"/>
              </w:rPr>
            </w:r>
          </w:p>
        </w:tc>
      </w:tr>
      <w:tr>
        <w:trPr/>
        <w:tc>
          <w:tcPr>
            <w:tcW w:w="704" w:type="dxa"/>
            <w:tcBorders/>
          </w:tcPr>
          <w:p>
            <w:pPr>
              <w:pStyle w:val="Table"/>
              <w:jc w:val="center"/>
              <w:rPr>
                <w:rFonts w:cs="Arial"/>
              </w:rPr>
            </w:pPr>
            <w:r>
              <w:rPr>
                <w:rFonts w:cs="Arial"/>
              </w:rPr>
              <w:t>12</w:t>
            </w:r>
          </w:p>
        </w:tc>
        <w:tc>
          <w:tcPr>
            <w:tcW w:w="2160" w:type="dxa"/>
            <w:tcBorders/>
          </w:tcPr>
          <w:p>
            <w:pPr>
              <w:pStyle w:val="Table"/>
              <w:rPr>
                <w:rFonts w:cs="Arial"/>
              </w:rPr>
            </w:pPr>
            <w:r>
              <w:rPr>
                <w:rFonts w:cs="Arial"/>
              </w:rPr>
              <w:t>December</w:t>
            </w:r>
          </w:p>
        </w:tc>
        <w:tc>
          <w:tcPr>
            <w:tcW w:w="1440" w:type="dxa"/>
            <w:tcBorders/>
          </w:tcPr>
          <w:p>
            <w:pPr>
              <w:pStyle w:val="Table"/>
              <w:tabs>
                <w:tab w:val="clear" w:pos="720"/>
                <w:tab w:val="decimal" w:pos="522" w:leader="none"/>
              </w:tabs>
              <w:rPr>
                <w:rFonts w:cs="Arial"/>
              </w:rPr>
            </w:pPr>
            <w:r>
              <w:rPr>
                <w:rFonts w:cs="Arial"/>
              </w:rPr>
              <w:t>3.97</w:t>
            </w:r>
          </w:p>
        </w:tc>
        <w:tc>
          <w:tcPr>
            <w:tcW w:w="1440" w:type="dxa"/>
            <w:tcBorders/>
          </w:tcPr>
          <w:p>
            <w:pPr>
              <w:pStyle w:val="Table"/>
              <w:tabs>
                <w:tab w:val="clear" w:pos="720"/>
                <w:tab w:val="left" w:pos="350" w:leader="none"/>
              </w:tabs>
              <w:jc w:val="center"/>
              <w:rPr>
                <w:rFonts w:cs="Arial"/>
              </w:rPr>
            </w:pPr>
            <w:r>
              <w:rPr>
                <w:rFonts w:cs="Arial"/>
              </w:rPr>
              <w:t>*</w:t>
            </w:r>
          </w:p>
        </w:tc>
        <w:tc>
          <w:tcPr>
            <w:tcW w:w="1440" w:type="dxa"/>
            <w:tcBorders/>
          </w:tcPr>
          <w:p>
            <w:pPr>
              <w:pStyle w:val="Table"/>
              <w:tabs>
                <w:tab w:val="clear" w:pos="720"/>
                <w:tab w:val="decimal" w:pos="702" w:leader="none"/>
              </w:tabs>
              <w:snapToGrid w:val="false"/>
              <w:rPr>
                <w:rFonts w:cs="Arial"/>
              </w:rPr>
            </w:pPr>
            <w:r>
              <w:rPr>
                <w:rFonts w:cs="Arial"/>
              </w:rPr>
            </w:r>
          </w:p>
        </w:tc>
      </w:tr>
      <w:tr>
        <w:trPr/>
        <w:tc>
          <w:tcPr>
            <w:tcW w:w="7184" w:type="dxa"/>
            <w:gridSpan w:val="5"/>
            <w:tcBorders/>
          </w:tcPr>
          <w:p>
            <w:pPr>
              <w:pStyle w:val="Table"/>
              <w:snapToGrid w:val="false"/>
              <w:rPr>
                <w:rFonts w:ascii="Times New Roman" w:hAnsi="Times New Roman" w:cs="Arial"/>
                <w:color w:val="000000"/>
                <w:sz w:val="20"/>
              </w:rPr>
            </w:pPr>
            <w:r>
              <w:rPr>
                <w:rFonts w:cs="Arial" w:ascii="Times New Roman" w:hAnsi="Times New Roman"/>
                <w:color w:val="000000"/>
                <w:sz w:val="20"/>
              </w:rPr>
            </w:r>
          </w:p>
          <w:p>
            <w:pPr>
              <w:pStyle w:val="Table"/>
              <w:rPr>
                <w:rFonts w:cs="Arial"/>
              </w:rPr>
            </w:pPr>
            <w:r>
              <w:rPr>
                <w:rFonts w:cs="Arial"/>
              </w:rPr>
              <w:t>* Data not available.</w:t>
            </w:r>
          </w:p>
        </w:tc>
      </w:tr>
    </w:tbl>
    <w:p>
      <w:pPr>
        <w:pStyle w:val="Body1"/>
        <w:suppressLineNumbers/>
        <w:rPr>
          <w:rFonts w:cs="Arial"/>
          <w:szCs w:val="24"/>
        </w:rPr>
      </w:pPr>
      <w:r>
        <w:rPr>
          <w:rFonts w:cs="Arial"/>
          <w:szCs w:val="24"/>
        </w:rPr>
      </w:r>
    </w:p>
    <w:p>
      <w:pPr>
        <w:pStyle w:val="Body1"/>
        <w:rPr>
          <w:rFonts w:cs="Arial"/>
        </w:rPr>
      </w:pPr>
      <w:r>
        <w:rPr>
          <w:rFonts w:cs="Arial"/>
        </w:rPr>
        <w:t>In PG&amp;E’s service territory, prices charged to customers have remained frozen, and PG&amp;E has been forced to finance the huge costs associated with the massive increase.  In contrast, in SDG&amp;E’s territory during the early summer of 2000, wholesale electric commodity prices were being passed directly through to customers on each monthly bill.  As a result, in many instances, customers’ bills more than doubled relative to previous months.  As the summer of 2000 progressed, it became clear some level of high rate/high bill protection was needed to shield SDG&amp;E’s customers.  Both this Commission and the California State Legislature acted to provide relief to SDG&amp;E’s customers.  The Commission acted first, modifying its PTER decision and finding that a price cap for residential and small commercial customers was warranted.  The Legislature then stepped in and enacted a new rate stabilization plan in AB 265 that provided greater protections for all San Diego customers.  This Commission then implemented the Legislative plan in Decision 00</w:t>
        <w:noBreakHyphen/>
        <w:t>09</w:t>
        <w:noBreakHyphen/>
        <w:t>040.</w:t>
      </w:r>
    </w:p>
    <w:p>
      <w:pPr>
        <w:pStyle w:val="Body1"/>
        <w:rPr/>
      </w:pPr>
      <w:r>
        <w:rPr>
          <w:rFonts w:cs="Arial"/>
        </w:rPr>
        <w:t>Because PG&amp;E and Southern California Edison Company’s (SCE) ratepayers were not then directly subject to market rates, neither the Legislature nor the Commission crafted a comparable rate stabilization plan to cover SCE’s or PG&amp;E’s ratepayers, even though it was understood those ratepayers would be charged market rates once SCE and PG&amp;E recovered their transition costs and ended their rate freezes.  However, in anticipation that PG&amp;E and SCE could soon be ending their rate freezes, the Legislature in August 2000 enacted Assembly Joint Resolution (AJR) 77, which directed the Commission to review the impact of the current electricity crisis on PG&amp;E and SCE, “with emphasis on the options for correcting the electricity crisis, methods to eliminate price volatility for consumers, and methods of cost recovery and cost allocation….”</w:t>
      </w:r>
      <w:r>
        <w:rPr>
          <w:rFonts w:cs="Arial"/>
          <w:b/>
          <w:bCs/>
          <w:position w:val="6"/>
        </w:rPr>
        <w:t>[</w:t>
      </w:r>
      <w:r>
        <w:rPr>
          <w:rStyle w:val="FootnoteCharacters"/>
          <w:rStyle w:val="FootnoteReference"/>
          <w:bCs/>
        </w:rPr>
        <w:footnoteReference w:id="3"/>
      </w:r>
      <w:r>
        <w:rPr>
          <w:b/>
          <w:bCs/>
          <w:position w:val="6"/>
        </w:rPr>
        <w:t>]</w:t>
      </w:r>
    </w:p>
    <w:p>
      <w:pPr>
        <w:pStyle w:val="Body1"/>
        <w:rPr>
          <w:rFonts w:cs="Arial"/>
        </w:rPr>
      </w:pPr>
      <w:r>
        <w:rPr>
          <w:rFonts w:cs="Arial"/>
        </w:rPr>
        <w:t xml:space="preserve">As described in Chapter 1, PG&amp;E has fully collected its transition costs and fulfilled the statutory conditions for ending its rate freeze, and therefore has filed its tariffs to change electric rates from their frozen levels, as required by Commission decisions and AB 1890.  Absent some Commission action to create an RSP for PG&amp;E’s ratepayers, those ratepayers will be subjected to the same high market prices and volatility SDG&amp;E’s ratepayers faced last summer. </w:t>
      </w:r>
    </w:p>
    <w:p>
      <w:pPr>
        <w:pStyle w:val="Body1"/>
        <w:rPr/>
      </w:pPr>
      <w:r>
        <w:rPr>
          <w:rFonts w:cs="Arial"/>
        </w:rPr>
        <w:t xml:space="preserve">For example, if PG&amp;E did not implement a rate stabilization plan and wholesale electric prices continued in 2001 at the levels experienced this fall and last summer, PG&amp;E’s customers would face an </w:t>
      </w:r>
      <w:r>
        <w:rPr>
          <w:rFonts w:cs="Arial"/>
          <w:i/>
          <w:iCs/>
        </w:rPr>
        <w:t>annual</w:t>
      </w:r>
      <w:r>
        <w:rPr>
          <w:rFonts w:cs="Arial"/>
        </w:rPr>
        <w:t xml:space="preserve"> 45 percent increase</w:t>
      </w:r>
      <w:r>
        <w:rPr>
          <w:rFonts w:cs="Arial"/>
          <w:b/>
          <w:bCs/>
          <w:position w:val="6"/>
        </w:rPr>
        <w:t>[</w:t>
      </w:r>
      <w:r>
        <w:rPr>
          <w:rStyle w:val="FootnoteCharacters"/>
          <w:rStyle w:val="FootnoteReference"/>
          <w:bCs/>
        </w:rPr>
        <w:footnoteReference w:id="4"/>
      </w:r>
      <w:r>
        <w:rPr>
          <w:b/>
          <w:bCs/>
          <w:position w:val="6"/>
        </w:rPr>
        <w:t>]</w:t>
      </w:r>
      <w:r>
        <w:rPr/>
        <w:t xml:space="preserve"> in system average electric rates when the rate freeze is lifted.  While we cannot predict the price in January 2001 with any certainty, if we use the most recent four-week average PX price for residential customers, bills could increase over 100 percent.  Furthermore, monthly summer electric bills could be 200 percent or more higher than last summer’s bills.  These unconstrained post-rate change period rates are comparable to the 270 percent increases in summer bills reported in SDG&amp;E’s service territory.</w:t>
      </w:r>
    </w:p>
    <w:p>
      <w:pPr>
        <w:pStyle w:val="Body1"/>
        <w:rPr>
          <w:rFonts w:cs="Arial"/>
        </w:rPr>
      </w:pPr>
      <w:r>
        <w:rPr>
          <w:rFonts w:cs="Arial"/>
        </w:rPr>
        <w:t>While recent actions and announcements by various entities, including the PG&amp;E initiatives described in Chapter 1, may help to mitigate high and volatile wholesale electric prices at some point in the future, the high prices have continued beyond the summer of 2000 and are projected to continue at least through next summer and possibly beyond.  Therefore, PG&amp;E believes it is prudent to have in place a mechanism that protects against the “rate shocks” that would otherwise occur when PG&amp;E’s rate freeze is lifted due to continuing high and volatile electric prices in wholesale electric markets.</w:t>
      </w:r>
    </w:p>
    <w:p>
      <w:pPr>
        <w:pStyle w:val="Heading1"/>
        <w:ind w:firstLine="432" w:start="0"/>
        <w:rPr/>
      </w:pPr>
      <w:bookmarkStart w:id="2" w:name="__RefHeading___Toc499516935"/>
      <w:r>
        <w:rPr>
          <w:rFonts w:cs="Arial"/>
        </w:rPr>
        <w:t>Mandatory Rate Stabilization</w:t>
      </w:r>
      <w:bookmarkEnd w:id="2"/>
      <w:r>
        <w:rPr>
          <w:rFonts w:cs="Arial"/>
        </w:rPr>
        <w:t xml:space="preserve"> </w:t>
      </w:r>
    </w:p>
    <w:p>
      <w:pPr>
        <w:pStyle w:val="Body1"/>
        <w:rPr>
          <w:rFonts w:cs="Arial"/>
        </w:rPr>
      </w:pPr>
      <w:r>
        <w:rPr>
          <w:rFonts w:cs="Arial"/>
        </w:rPr>
        <w:t>PG&amp;E’s mandatory rate stabilization portion of its overall RSP would seek to set a stable rate that, on average during the next five</w:t>
        <w:noBreakHyphen/>
        <w:t xml:space="preserve">year period, is lower than actual commodity costs during some periods, but higher than actual commodity costs during others.  Thus, PG&amp;E would undercollect initially and recover the undercollection during a future period, but customers would see a much more stable rate and could more easily forecast their energy costs, subject to an initial but moderate increase at the beginning of the RSP and subsequent increases or decreases depending on the actual level of wholesale electric costs incurred during the period.  </w:t>
      </w:r>
    </w:p>
    <w:p>
      <w:pPr>
        <w:pStyle w:val="Body1"/>
        <w:rPr>
          <w:rFonts w:cs="Arial"/>
        </w:rPr>
      </w:pPr>
      <w:r>
        <w:rPr>
          <w:rFonts w:cs="Arial"/>
        </w:rPr>
        <w:t>The proposed mandatory rate stabilization has five basic elements:  (1) a starting rate; (2) an annual adjustment; (3) a trigger for up to two interim rate changes between each annual adjustment; (4) the increment by which rates would change for the interim adjustments; (5) the amortization period for the annual adjustment to collect unrecovered costs; and (6) the RSP’s proposed term.</w:t>
      </w:r>
    </w:p>
    <w:p>
      <w:pPr>
        <w:pStyle w:val="Body1"/>
        <w:rPr>
          <w:rFonts w:cs="Arial"/>
        </w:rPr>
      </w:pPr>
      <w:r>
        <w:rPr>
          <w:rFonts w:cs="Arial"/>
        </w:rPr>
        <w:t>As is discussed in more detail below, this mandatory rate stabilization applies to all customers, including DA, except those on Schedules S, E</w:t>
        <w:noBreakHyphen/>
        <w:t>19 (Mandatory), E-20 and E-25.</w:t>
      </w:r>
    </w:p>
    <w:p>
      <w:pPr>
        <w:pStyle w:val="Heading2"/>
        <w:ind w:firstLine="432" w:start="0"/>
        <w:rPr/>
      </w:pPr>
      <w:bookmarkStart w:id="3" w:name="__RefHeading___Toc499516936"/>
      <w:bookmarkEnd w:id="3"/>
      <w:r>
        <w:rPr>
          <w:rFonts w:cs="Arial"/>
        </w:rPr>
        <w:t>Starting Rate</w:t>
      </w:r>
    </w:p>
    <w:p>
      <w:pPr>
        <w:pStyle w:val="Body2"/>
        <w:rPr>
          <w:rFonts w:cs="Arial"/>
        </w:rPr>
      </w:pPr>
      <w:r>
        <w:rPr>
          <w:rFonts w:cs="Arial"/>
        </w:rPr>
        <w:t>PG&amp;E proposes that the starting rate for electric energy commodity be set high enough to minimize the buildup of undercollections over time, but not so high as to create substantial jumps in bills for customers, particularly smaller customers whose options may be limited.  The starting point of 6.5 cents per kWh adopted by the Legislature for SDG&amp;E appears to have been accepted by policymakers and regulators as reasonable and a compromise between rates in effect during the rate freeze and the need to move towards prices that fully reflect the actual cost of wholesale energy.  For this reason, PG&amp;E proposes to use 6.5 cents per kWh as the basis for the starting rate in its mandatory rate stabilization.  The use of 6.5 cents per kWh starting point will have the following effect on rates for bundled service customers on the proposed interim effective date of January 1, 2001:</w:t>
      </w:r>
    </w:p>
    <w:p>
      <w:pPr>
        <w:pStyle w:val="TableCaption"/>
        <w:suppressLineNumbers/>
        <w:rPr>
          <w:rFonts w:cs="Arial"/>
        </w:rPr>
      </w:pPr>
      <w:r>
        <w:rPr>
          <w:rFonts w:cs="Arial"/>
        </w:rPr>
        <w:t>Table 2-2</w:t>
        <w:br/>
        <w:t>Current and Proposed Average BUNDLED Rate Comparison</w:t>
      </w:r>
    </w:p>
    <w:tbl>
      <w:tblPr>
        <w:tblW w:w="8480" w:type="dxa"/>
        <w:jc w:val="center"/>
        <w:tblInd w:w="0" w:type="dxa"/>
        <w:tblLayout w:type="fixed"/>
        <w:tblCellMar>
          <w:top w:w="0" w:type="dxa"/>
          <w:start w:w="108" w:type="dxa"/>
          <w:bottom w:w="0" w:type="dxa"/>
          <w:end w:w="108" w:type="dxa"/>
        </w:tblCellMar>
      </w:tblPr>
      <w:tblGrid>
        <w:gridCol w:w="704"/>
        <w:gridCol w:w="2592"/>
        <w:gridCol w:w="1872"/>
        <w:gridCol w:w="1872"/>
        <w:gridCol w:w="1440"/>
      </w:tblGrid>
      <w:tr>
        <w:trPr/>
        <w:tc>
          <w:tcPr>
            <w:tcW w:w="704" w:type="dxa"/>
            <w:tcBorders/>
          </w:tcPr>
          <w:p>
            <w:pPr>
              <w:pStyle w:val="Table"/>
              <w:pBdr>
                <w:bottom w:val="single" w:sz="6" w:space="1" w:color="000000"/>
              </w:pBdr>
              <w:spacing w:before="100" w:after="0"/>
              <w:jc w:val="center"/>
              <w:rPr>
                <w:rFonts w:cs="Arial"/>
              </w:rPr>
            </w:pPr>
            <w:r>
              <w:rPr>
                <w:rFonts w:cs="Arial"/>
              </w:rPr>
              <w:t>Line</w:t>
              <w:br/>
              <w:t>No.</w:t>
            </w:r>
          </w:p>
        </w:tc>
        <w:tc>
          <w:tcPr>
            <w:tcW w:w="2592" w:type="dxa"/>
            <w:tcBorders/>
          </w:tcPr>
          <w:p>
            <w:pPr>
              <w:pStyle w:val="Table"/>
              <w:pBdr>
                <w:bottom w:val="single" w:sz="6" w:space="1" w:color="000000"/>
              </w:pBdr>
              <w:spacing w:before="100" w:after="0"/>
              <w:jc w:val="center"/>
              <w:rPr>
                <w:rFonts w:cs="Arial"/>
              </w:rPr>
            </w:pPr>
            <w:r>
              <w:rPr>
                <w:rFonts w:cs="Arial"/>
              </w:rPr>
              <w:br/>
              <w:t>Customer Class</w:t>
            </w:r>
          </w:p>
        </w:tc>
        <w:tc>
          <w:tcPr>
            <w:tcW w:w="1872" w:type="dxa"/>
            <w:tcBorders/>
          </w:tcPr>
          <w:p>
            <w:pPr>
              <w:pStyle w:val="Table"/>
              <w:pBdr>
                <w:bottom w:val="single" w:sz="6" w:space="1" w:color="000000"/>
              </w:pBdr>
              <w:spacing w:before="100" w:after="0"/>
              <w:jc w:val="center"/>
              <w:rPr>
                <w:rFonts w:cs="Arial"/>
              </w:rPr>
            </w:pPr>
            <w:r>
              <w:rPr>
                <w:rFonts w:cs="Arial"/>
              </w:rPr>
              <w:br/>
              <w:t>November 2000</w:t>
            </w:r>
          </w:p>
        </w:tc>
        <w:tc>
          <w:tcPr>
            <w:tcW w:w="1872" w:type="dxa"/>
            <w:tcBorders/>
          </w:tcPr>
          <w:p>
            <w:pPr>
              <w:pStyle w:val="Table"/>
              <w:pBdr>
                <w:bottom w:val="single" w:sz="6" w:space="1" w:color="000000"/>
              </w:pBdr>
              <w:jc w:val="center"/>
              <w:rPr/>
            </w:pPr>
            <w:r>
              <w:rPr>
                <w:rFonts w:cs="Arial"/>
              </w:rPr>
              <w:br/>
              <w:t>January 2001</w:t>
            </w:r>
            <w:r>
              <w:rPr>
                <w:rFonts w:cs="Arial"/>
                <w:b/>
                <w:bCs/>
                <w:position w:val="6"/>
              </w:rPr>
              <w:t>[</w:t>
            </w:r>
            <w:r>
              <w:rPr>
                <w:rStyle w:val="FootnoteCharacters"/>
                <w:rStyle w:val="FootnoteReference"/>
                <w:rFonts w:cs="Arial"/>
                <w:bCs/>
              </w:rPr>
              <w:footnoteReference w:id="5"/>
            </w:r>
            <w:r>
              <w:rPr>
                <w:rFonts w:cs="Arial"/>
                <w:b/>
                <w:bCs/>
                <w:position w:val="6"/>
              </w:rPr>
              <w:t>]</w:t>
            </w:r>
          </w:p>
        </w:tc>
        <w:tc>
          <w:tcPr>
            <w:tcW w:w="1440" w:type="dxa"/>
            <w:tcBorders/>
          </w:tcPr>
          <w:p>
            <w:pPr>
              <w:pStyle w:val="Table"/>
              <w:pBdr>
                <w:bottom w:val="single" w:sz="6" w:space="1" w:color="000000"/>
              </w:pBdr>
              <w:spacing w:before="100" w:after="0"/>
              <w:jc w:val="center"/>
              <w:rPr>
                <w:rFonts w:cs="Arial"/>
              </w:rPr>
            </w:pPr>
            <w:r>
              <w:rPr>
                <w:rFonts w:cs="Arial"/>
              </w:rPr>
              <w:br/>
              <w:t>Difference</w:t>
            </w:r>
          </w:p>
        </w:tc>
      </w:tr>
      <w:tr>
        <w:trPr/>
        <w:tc>
          <w:tcPr>
            <w:tcW w:w="704" w:type="dxa"/>
            <w:tcBorders/>
          </w:tcPr>
          <w:p>
            <w:pPr>
              <w:pStyle w:val="Table"/>
              <w:snapToGrid w:val="false"/>
              <w:jc w:val="center"/>
              <w:rPr>
                <w:rFonts w:ascii="Times New Roman" w:hAnsi="Times New Roman" w:cs="Arial"/>
                <w:color w:val="000000"/>
                <w:sz w:val="20"/>
              </w:rPr>
            </w:pPr>
            <w:r>
              <w:rPr>
                <w:rFonts w:cs="Arial" w:ascii="Times New Roman" w:hAnsi="Times New Roman"/>
                <w:color w:val="000000"/>
                <w:sz w:val="20"/>
              </w:rPr>
            </w:r>
          </w:p>
        </w:tc>
        <w:tc>
          <w:tcPr>
            <w:tcW w:w="2592" w:type="dxa"/>
            <w:tcBorders/>
          </w:tcPr>
          <w:p>
            <w:pPr>
              <w:pStyle w:val="Table"/>
              <w:snapToGrid w:val="false"/>
              <w:jc w:val="center"/>
              <w:rPr>
                <w:rFonts w:cs="Arial"/>
              </w:rPr>
            </w:pPr>
            <w:r>
              <w:rPr>
                <w:rFonts w:cs="Arial"/>
              </w:rPr>
            </w:r>
          </w:p>
        </w:tc>
        <w:tc>
          <w:tcPr>
            <w:tcW w:w="1872" w:type="dxa"/>
            <w:tcBorders/>
          </w:tcPr>
          <w:p>
            <w:pPr>
              <w:pStyle w:val="Table"/>
              <w:jc w:val="center"/>
              <w:rPr>
                <w:rFonts w:cs="Arial"/>
              </w:rPr>
            </w:pPr>
            <w:r>
              <w:rPr>
                <w:rFonts w:cs="Arial"/>
              </w:rPr>
              <w:t>(cents/kWh)</w:t>
            </w:r>
          </w:p>
        </w:tc>
        <w:tc>
          <w:tcPr>
            <w:tcW w:w="1872" w:type="dxa"/>
            <w:tcBorders/>
          </w:tcPr>
          <w:p>
            <w:pPr>
              <w:pStyle w:val="Table"/>
              <w:jc w:val="center"/>
              <w:rPr>
                <w:rFonts w:cs="Arial"/>
              </w:rPr>
            </w:pPr>
            <w:r>
              <w:rPr>
                <w:rFonts w:cs="Arial"/>
              </w:rPr>
              <w:t>(cents/kWh)</w:t>
            </w:r>
          </w:p>
        </w:tc>
        <w:tc>
          <w:tcPr>
            <w:tcW w:w="1440" w:type="dxa"/>
            <w:tcBorders/>
          </w:tcPr>
          <w:p>
            <w:pPr>
              <w:pStyle w:val="Table"/>
              <w:jc w:val="center"/>
              <w:rPr>
                <w:rFonts w:cs="Arial"/>
              </w:rPr>
            </w:pPr>
            <w:r>
              <w:rPr>
                <w:rFonts w:cs="Arial"/>
              </w:rPr>
              <w:t>(%)</w:t>
            </w:r>
          </w:p>
        </w:tc>
      </w:tr>
      <w:tr>
        <w:trPr/>
        <w:tc>
          <w:tcPr>
            <w:tcW w:w="704" w:type="dxa"/>
            <w:tcBorders/>
          </w:tcPr>
          <w:p>
            <w:pPr>
              <w:pStyle w:val="Table-FirstRow"/>
              <w:spacing w:before="120" w:after="0"/>
              <w:jc w:val="center"/>
              <w:rPr>
                <w:rFonts w:cs="Arial"/>
              </w:rPr>
            </w:pPr>
            <w:r>
              <w:rPr>
                <w:rFonts w:cs="Arial"/>
              </w:rPr>
              <w:t>1</w:t>
            </w:r>
          </w:p>
        </w:tc>
        <w:tc>
          <w:tcPr>
            <w:tcW w:w="2592" w:type="dxa"/>
            <w:tcBorders/>
          </w:tcPr>
          <w:p>
            <w:pPr>
              <w:pStyle w:val="Table"/>
              <w:spacing w:before="120" w:after="0"/>
              <w:rPr>
                <w:rFonts w:cs="Arial"/>
              </w:rPr>
            </w:pPr>
            <w:r>
              <w:rPr>
                <w:rFonts w:cs="Arial"/>
              </w:rPr>
              <w:t>Residential</w:t>
              <w:br/>
            </w:r>
          </w:p>
        </w:tc>
        <w:tc>
          <w:tcPr>
            <w:tcW w:w="1872" w:type="dxa"/>
            <w:tcBorders/>
          </w:tcPr>
          <w:p>
            <w:pPr>
              <w:pStyle w:val="Table-FirstRow"/>
              <w:tabs>
                <w:tab w:val="clear" w:pos="720"/>
                <w:tab w:val="decimal" w:pos="792" w:leader="none"/>
              </w:tabs>
              <w:spacing w:before="120" w:after="0"/>
              <w:rPr>
                <w:rFonts w:cs="Arial"/>
              </w:rPr>
            </w:pPr>
            <w:r>
              <w:rPr>
                <w:rFonts w:cs="Arial"/>
              </w:rPr>
              <w:t>10.68</w:t>
            </w:r>
          </w:p>
        </w:tc>
        <w:tc>
          <w:tcPr>
            <w:tcW w:w="1872" w:type="dxa"/>
            <w:tcBorders/>
          </w:tcPr>
          <w:p>
            <w:pPr>
              <w:pStyle w:val="Table-FirstRow"/>
              <w:tabs>
                <w:tab w:val="clear" w:pos="720"/>
                <w:tab w:val="decimal" w:pos="854" w:leader="none"/>
              </w:tabs>
              <w:spacing w:before="120" w:after="0"/>
              <w:rPr>
                <w:rFonts w:cs="Arial"/>
              </w:rPr>
            </w:pPr>
            <w:r>
              <w:rPr>
                <w:rFonts w:cs="Arial"/>
              </w:rPr>
              <w:t>12.54</w:t>
            </w:r>
          </w:p>
        </w:tc>
        <w:tc>
          <w:tcPr>
            <w:tcW w:w="1440" w:type="dxa"/>
            <w:tcBorders/>
          </w:tcPr>
          <w:p>
            <w:pPr>
              <w:pStyle w:val="Table"/>
              <w:tabs>
                <w:tab w:val="clear" w:pos="720"/>
                <w:tab w:val="decimal" w:pos="602" w:leader="none"/>
              </w:tabs>
              <w:spacing w:before="120" w:after="0"/>
              <w:rPr>
                <w:rFonts w:cs="Arial"/>
              </w:rPr>
            </w:pPr>
            <w:r>
              <w:rPr>
                <w:rFonts w:cs="Arial"/>
              </w:rPr>
              <w:t>17.5</w:t>
            </w:r>
          </w:p>
        </w:tc>
      </w:tr>
      <w:tr>
        <w:trPr/>
        <w:tc>
          <w:tcPr>
            <w:tcW w:w="704" w:type="dxa"/>
            <w:tcBorders/>
          </w:tcPr>
          <w:p>
            <w:pPr>
              <w:pStyle w:val="Table"/>
              <w:jc w:val="center"/>
              <w:rPr>
                <w:rFonts w:cs="Arial"/>
              </w:rPr>
            </w:pPr>
            <w:r>
              <w:rPr>
                <w:rFonts w:cs="Arial"/>
              </w:rPr>
              <w:t>2</w:t>
            </w:r>
          </w:p>
        </w:tc>
        <w:tc>
          <w:tcPr>
            <w:tcW w:w="2592" w:type="dxa"/>
            <w:tcBorders/>
          </w:tcPr>
          <w:p>
            <w:pPr>
              <w:pStyle w:val="Table"/>
              <w:rPr>
                <w:rFonts w:cs="Arial"/>
              </w:rPr>
            </w:pPr>
            <w:r>
              <w:rPr>
                <w:rFonts w:cs="Arial"/>
              </w:rPr>
              <w:t>Small Light and Power</w:t>
            </w:r>
          </w:p>
          <w:p>
            <w:pPr>
              <w:pStyle w:val="Table"/>
              <w:rPr>
                <w:rFonts w:cs="Arial"/>
              </w:rPr>
            </w:pPr>
            <w:r>
              <w:rPr>
                <w:rFonts w:cs="Arial"/>
              </w:rPr>
            </w:r>
          </w:p>
        </w:tc>
        <w:tc>
          <w:tcPr>
            <w:tcW w:w="1872" w:type="dxa"/>
            <w:tcBorders/>
          </w:tcPr>
          <w:p>
            <w:pPr>
              <w:pStyle w:val="Table"/>
              <w:tabs>
                <w:tab w:val="clear" w:pos="720"/>
                <w:tab w:val="decimal" w:pos="792" w:leader="none"/>
              </w:tabs>
              <w:rPr>
                <w:rFonts w:cs="Arial"/>
              </w:rPr>
            </w:pPr>
            <w:r>
              <w:rPr>
                <w:rFonts w:cs="Arial"/>
              </w:rPr>
              <w:t>11.24</w:t>
            </w:r>
          </w:p>
        </w:tc>
        <w:tc>
          <w:tcPr>
            <w:tcW w:w="1872" w:type="dxa"/>
            <w:tcBorders/>
          </w:tcPr>
          <w:p>
            <w:pPr>
              <w:pStyle w:val="Table"/>
              <w:tabs>
                <w:tab w:val="clear" w:pos="720"/>
                <w:tab w:val="decimal" w:pos="854" w:leader="none"/>
              </w:tabs>
              <w:rPr>
                <w:rFonts w:cs="Arial"/>
              </w:rPr>
            </w:pPr>
            <w:r>
              <w:rPr>
                <w:rFonts w:cs="Arial"/>
              </w:rPr>
              <w:t>12.58</w:t>
            </w:r>
          </w:p>
        </w:tc>
        <w:tc>
          <w:tcPr>
            <w:tcW w:w="1440" w:type="dxa"/>
            <w:tcBorders/>
          </w:tcPr>
          <w:p>
            <w:pPr>
              <w:pStyle w:val="Table"/>
              <w:tabs>
                <w:tab w:val="clear" w:pos="720"/>
                <w:tab w:val="decimal" w:pos="602" w:leader="none"/>
              </w:tabs>
              <w:rPr>
                <w:rFonts w:cs="Arial"/>
              </w:rPr>
            </w:pPr>
            <w:r>
              <w:rPr>
                <w:rFonts w:cs="Arial"/>
              </w:rPr>
              <w:t>11.9</w:t>
            </w:r>
          </w:p>
        </w:tc>
      </w:tr>
      <w:tr>
        <w:trPr/>
        <w:tc>
          <w:tcPr>
            <w:tcW w:w="704" w:type="dxa"/>
            <w:tcBorders/>
          </w:tcPr>
          <w:p>
            <w:pPr>
              <w:pStyle w:val="Table"/>
              <w:jc w:val="center"/>
              <w:rPr>
                <w:rFonts w:cs="Arial"/>
              </w:rPr>
            </w:pPr>
            <w:r>
              <w:rPr>
                <w:rFonts w:cs="Arial"/>
              </w:rPr>
              <w:t>3</w:t>
            </w:r>
          </w:p>
        </w:tc>
        <w:tc>
          <w:tcPr>
            <w:tcW w:w="2592" w:type="dxa"/>
            <w:tcBorders/>
          </w:tcPr>
          <w:p>
            <w:pPr>
              <w:pStyle w:val="Table"/>
              <w:rPr>
                <w:rFonts w:cs="Arial"/>
              </w:rPr>
            </w:pPr>
            <w:r>
              <w:rPr>
                <w:rFonts w:cs="Arial"/>
              </w:rPr>
              <w:t>Medium Light and Power</w:t>
            </w:r>
          </w:p>
          <w:p>
            <w:pPr>
              <w:pStyle w:val="Table"/>
              <w:rPr>
                <w:rFonts w:cs="Arial"/>
              </w:rPr>
            </w:pPr>
            <w:r>
              <w:rPr>
                <w:rFonts w:cs="Arial"/>
              </w:rPr>
              <w:t>(includes E-19 Voluntary)</w:t>
            </w:r>
          </w:p>
          <w:p>
            <w:pPr>
              <w:pStyle w:val="Table"/>
              <w:rPr>
                <w:rFonts w:cs="Arial"/>
              </w:rPr>
            </w:pPr>
            <w:r>
              <w:rPr>
                <w:rFonts w:cs="Arial"/>
              </w:rPr>
            </w:r>
          </w:p>
        </w:tc>
        <w:tc>
          <w:tcPr>
            <w:tcW w:w="1872" w:type="dxa"/>
            <w:tcBorders/>
          </w:tcPr>
          <w:p>
            <w:pPr>
              <w:pStyle w:val="Table"/>
              <w:tabs>
                <w:tab w:val="clear" w:pos="720"/>
                <w:tab w:val="decimal" w:pos="792" w:leader="none"/>
              </w:tabs>
              <w:rPr>
                <w:rFonts w:cs="Arial"/>
              </w:rPr>
            </w:pPr>
            <w:r>
              <w:rPr>
                <w:rFonts w:cs="Arial"/>
              </w:rPr>
              <w:t>9.49</w:t>
            </w:r>
          </w:p>
        </w:tc>
        <w:tc>
          <w:tcPr>
            <w:tcW w:w="1872" w:type="dxa"/>
            <w:tcBorders/>
          </w:tcPr>
          <w:p>
            <w:pPr>
              <w:pStyle w:val="Table"/>
              <w:tabs>
                <w:tab w:val="clear" w:pos="720"/>
                <w:tab w:val="decimal" w:pos="854" w:leader="none"/>
              </w:tabs>
              <w:rPr>
                <w:rFonts w:cs="Arial"/>
              </w:rPr>
            </w:pPr>
            <w:r>
              <w:rPr>
                <w:rFonts w:cs="Arial"/>
              </w:rPr>
              <w:t>10.22</w:t>
            </w:r>
          </w:p>
        </w:tc>
        <w:tc>
          <w:tcPr>
            <w:tcW w:w="1440" w:type="dxa"/>
            <w:tcBorders/>
          </w:tcPr>
          <w:p>
            <w:pPr>
              <w:pStyle w:val="Table"/>
              <w:tabs>
                <w:tab w:val="clear" w:pos="720"/>
                <w:tab w:val="decimal" w:pos="602" w:leader="none"/>
              </w:tabs>
              <w:rPr>
                <w:rFonts w:cs="Arial"/>
              </w:rPr>
            </w:pPr>
            <w:r>
              <w:rPr>
                <w:rFonts w:cs="Arial"/>
              </w:rPr>
              <w:t>7.7</w:t>
            </w:r>
          </w:p>
        </w:tc>
      </w:tr>
      <w:tr>
        <w:trPr/>
        <w:tc>
          <w:tcPr>
            <w:tcW w:w="704" w:type="dxa"/>
            <w:tcBorders/>
          </w:tcPr>
          <w:p>
            <w:pPr>
              <w:pStyle w:val="Table"/>
              <w:jc w:val="center"/>
              <w:rPr>
                <w:rFonts w:cs="Arial"/>
              </w:rPr>
            </w:pPr>
            <w:r>
              <w:rPr>
                <w:rFonts w:cs="Arial"/>
              </w:rPr>
              <w:t>4</w:t>
            </w:r>
          </w:p>
        </w:tc>
        <w:tc>
          <w:tcPr>
            <w:tcW w:w="2592" w:type="dxa"/>
            <w:tcBorders/>
          </w:tcPr>
          <w:p>
            <w:pPr>
              <w:pStyle w:val="Table"/>
              <w:tabs>
                <w:tab w:val="clear" w:pos="720"/>
                <w:tab w:val="left" w:pos="172" w:leader="none"/>
              </w:tabs>
              <w:rPr>
                <w:rFonts w:cs="Arial"/>
              </w:rPr>
            </w:pPr>
            <w:r>
              <w:rPr>
                <w:rFonts w:cs="Arial"/>
              </w:rPr>
              <w:t>E-19 (Mandatory)*</w:t>
            </w:r>
          </w:p>
          <w:p>
            <w:pPr>
              <w:pStyle w:val="Table"/>
              <w:tabs>
                <w:tab w:val="clear" w:pos="720"/>
                <w:tab w:val="left" w:pos="172" w:leader="none"/>
              </w:tabs>
              <w:rPr>
                <w:rFonts w:cs="Arial"/>
              </w:rPr>
            </w:pPr>
            <w:r>
              <w:rPr>
                <w:rFonts w:cs="Arial"/>
              </w:rPr>
              <w:tab/>
              <w:t>Primary</w:t>
            </w:r>
          </w:p>
          <w:p>
            <w:pPr>
              <w:pStyle w:val="Table"/>
              <w:tabs>
                <w:tab w:val="clear" w:pos="720"/>
                <w:tab w:val="left" w:pos="172" w:leader="none"/>
              </w:tabs>
              <w:rPr>
                <w:rFonts w:cs="Arial"/>
              </w:rPr>
            </w:pPr>
            <w:r>
              <w:rPr>
                <w:rFonts w:cs="Arial"/>
              </w:rPr>
              <w:tab/>
              <w:t>Secondary</w:t>
            </w:r>
          </w:p>
          <w:p>
            <w:pPr>
              <w:pStyle w:val="Table"/>
              <w:tabs>
                <w:tab w:val="clear" w:pos="720"/>
                <w:tab w:val="left" w:pos="172" w:leader="none"/>
              </w:tabs>
              <w:rPr>
                <w:rFonts w:cs="Arial"/>
              </w:rPr>
            </w:pPr>
            <w:r>
              <w:rPr>
                <w:rFonts w:cs="Arial"/>
              </w:rPr>
            </w:r>
          </w:p>
        </w:tc>
        <w:tc>
          <w:tcPr>
            <w:tcW w:w="1872" w:type="dxa"/>
            <w:tcBorders/>
          </w:tcPr>
          <w:p>
            <w:pPr>
              <w:pStyle w:val="Table"/>
              <w:tabs>
                <w:tab w:val="clear" w:pos="720"/>
                <w:tab w:val="decimal" w:pos="792" w:leader="none"/>
              </w:tabs>
              <w:snapToGrid w:val="false"/>
              <w:rPr>
                <w:rFonts w:cs="Arial"/>
              </w:rPr>
            </w:pPr>
            <w:r>
              <w:rPr>
                <w:rFonts w:cs="Arial"/>
              </w:rPr>
            </w:r>
          </w:p>
          <w:p>
            <w:pPr>
              <w:pStyle w:val="Table"/>
              <w:tabs>
                <w:tab w:val="clear" w:pos="720"/>
                <w:tab w:val="decimal" w:pos="792" w:leader="none"/>
              </w:tabs>
              <w:rPr>
                <w:rFonts w:cs="Arial"/>
              </w:rPr>
            </w:pPr>
            <w:r>
              <w:rPr>
                <w:rFonts w:cs="Arial"/>
              </w:rPr>
              <w:t>7.70</w:t>
            </w:r>
          </w:p>
          <w:p>
            <w:pPr>
              <w:pStyle w:val="Table"/>
              <w:tabs>
                <w:tab w:val="clear" w:pos="720"/>
                <w:tab w:val="decimal" w:pos="792" w:leader="none"/>
              </w:tabs>
              <w:rPr>
                <w:rFonts w:cs="Arial"/>
              </w:rPr>
            </w:pPr>
            <w:r>
              <w:rPr>
                <w:rFonts w:cs="Arial"/>
              </w:rPr>
              <w:t>9.05</w:t>
            </w:r>
          </w:p>
        </w:tc>
        <w:tc>
          <w:tcPr>
            <w:tcW w:w="1872" w:type="dxa"/>
            <w:tcBorders/>
          </w:tcPr>
          <w:p>
            <w:pPr>
              <w:pStyle w:val="Table"/>
              <w:tabs>
                <w:tab w:val="clear" w:pos="720"/>
                <w:tab w:val="decimal" w:pos="854" w:leader="none"/>
              </w:tabs>
              <w:snapToGrid w:val="false"/>
              <w:rPr>
                <w:rFonts w:cs="Arial"/>
              </w:rPr>
            </w:pPr>
            <w:r>
              <w:rPr>
                <w:rFonts w:cs="Arial"/>
              </w:rPr>
            </w:r>
          </w:p>
          <w:p>
            <w:pPr>
              <w:pStyle w:val="Table"/>
              <w:tabs>
                <w:tab w:val="clear" w:pos="720"/>
                <w:tab w:val="decimal" w:pos="854" w:leader="none"/>
              </w:tabs>
              <w:rPr>
                <w:rFonts w:cs="Arial"/>
              </w:rPr>
            </w:pPr>
            <w:r>
              <w:rPr>
                <w:rFonts w:cs="Arial"/>
              </w:rPr>
              <w:t>10.80</w:t>
            </w:r>
          </w:p>
          <w:p>
            <w:pPr>
              <w:pStyle w:val="Table"/>
              <w:tabs>
                <w:tab w:val="clear" w:pos="720"/>
                <w:tab w:val="decimal" w:pos="854" w:leader="none"/>
              </w:tabs>
              <w:rPr>
                <w:rFonts w:cs="Arial"/>
              </w:rPr>
            </w:pPr>
            <w:r>
              <w:rPr>
                <w:rFonts w:cs="Arial"/>
              </w:rPr>
              <w:t>12.50</w:t>
            </w:r>
          </w:p>
        </w:tc>
        <w:tc>
          <w:tcPr>
            <w:tcW w:w="1440" w:type="dxa"/>
            <w:tcBorders/>
          </w:tcPr>
          <w:p>
            <w:pPr>
              <w:pStyle w:val="Table"/>
              <w:tabs>
                <w:tab w:val="clear" w:pos="720"/>
                <w:tab w:val="decimal" w:pos="602" w:leader="none"/>
              </w:tabs>
              <w:snapToGrid w:val="false"/>
              <w:rPr>
                <w:rFonts w:cs="Arial"/>
              </w:rPr>
            </w:pPr>
            <w:r>
              <w:rPr>
                <w:rFonts w:cs="Arial"/>
              </w:rPr>
            </w:r>
          </w:p>
          <w:p>
            <w:pPr>
              <w:pStyle w:val="Table"/>
              <w:tabs>
                <w:tab w:val="clear" w:pos="720"/>
                <w:tab w:val="decimal" w:pos="602" w:leader="none"/>
              </w:tabs>
              <w:rPr>
                <w:rFonts w:cs="Arial"/>
              </w:rPr>
            </w:pPr>
            <w:r>
              <w:rPr>
                <w:rFonts w:cs="Arial"/>
              </w:rPr>
              <w:t>40.3</w:t>
            </w:r>
          </w:p>
          <w:p>
            <w:pPr>
              <w:pStyle w:val="Table"/>
              <w:tabs>
                <w:tab w:val="clear" w:pos="720"/>
                <w:tab w:val="decimal" w:pos="602" w:leader="none"/>
              </w:tabs>
              <w:rPr>
                <w:rFonts w:cs="Arial"/>
              </w:rPr>
            </w:pPr>
            <w:r>
              <w:rPr>
                <w:rFonts w:cs="Arial"/>
              </w:rPr>
              <w:t>38.1</w:t>
            </w:r>
          </w:p>
        </w:tc>
      </w:tr>
      <w:tr>
        <w:trPr/>
        <w:tc>
          <w:tcPr>
            <w:tcW w:w="704" w:type="dxa"/>
            <w:tcBorders/>
          </w:tcPr>
          <w:p>
            <w:pPr>
              <w:pStyle w:val="Table"/>
              <w:snapToGrid w:val="false"/>
              <w:jc w:val="center"/>
              <w:rPr>
                <w:rFonts w:ascii="Times New Roman" w:hAnsi="Times New Roman" w:cs="Arial"/>
                <w:color w:val="000000"/>
                <w:sz w:val="20"/>
              </w:rPr>
            </w:pPr>
            <w:r>
              <w:rPr>
                <w:rFonts w:cs="Arial" w:ascii="Times New Roman" w:hAnsi="Times New Roman"/>
                <w:color w:val="000000"/>
                <w:sz w:val="20"/>
              </w:rPr>
            </w:r>
          </w:p>
          <w:p>
            <w:pPr>
              <w:pStyle w:val="Table"/>
              <w:jc w:val="center"/>
              <w:rPr>
                <w:rFonts w:cs="Arial"/>
              </w:rPr>
            </w:pPr>
            <w:r>
              <w:rPr>
                <w:rFonts w:cs="Arial"/>
              </w:rPr>
              <w:t>5</w:t>
            </w:r>
          </w:p>
          <w:p>
            <w:pPr>
              <w:pStyle w:val="Table"/>
              <w:jc w:val="center"/>
              <w:rPr>
                <w:rFonts w:cs="Arial"/>
              </w:rPr>
            </w:pPr>
            <w:r>
              <w:rPr>
                <w:rFonts w:cs="Arial"/>
              </w:rPr>
              <w:t>6</w:t>
            </w:r>
          </w:p>
          <w:p>
            <w:pPr>
              <w:pStyle w:val="Table"/>
              <w:jc w:val="center"/>
              <w:rPr>
                <w:rFonts w:cs="Arial"/>
              </w:rPr>
            </w:pPr>
            <w:r>
              <w:rPr>
                <w:rFonts w:cs="Arial"/>
              </w:rPr>
              <w:t>7</w:t>
            </w:r>
          </w:p>
        </w:tc>
        <w:tc>
          <w:tcPr>
            <w:tcW w:w="2592" w:type="dxa"/>
            <w:tcBorders/>
          </w:tcPr>
          <w:p>
            <w:pPr>
              <w:pStyle w:val="Table"/>
              <w:tabs>
                <w:tab w:val="clear" w:pos="720"/>
                <w:tab w:val="left" w:pos="172" w:leader="none"/>
              </w:tabs>
              <w:rPr>
                <w:rFonts w:cs="Arial"/>
              </w:rPr>
            </w:pPr>
            <w:r>
              <w:rPr>
                <w:rFonts w:cs="Arial"/>
              </w:rPr>
              <w:t>E-20*</w:t>
            </w:r>
          </w:p>
          <w:p>
            <w:pPr>
              <w:pStyle w:val="Table"/>
              <w:tabs>
                <w:tab w:val="clear" w:pos="720"/>
                <w:tab w:val="left" w:pos="172" w:leader="none"/>
              </w:tabs>
              <w:rPr>
                <w:rFonts w:cs="Arial"/>
              </w:rPr>
            </w:pPr>
            <w:r>
              <w:rPr>
                <w:rFonts w:cs="Arial"/>
              </w:rPr>
              <w:tab/>
              <w:t>Transmission</w:t>
            </w:r>
          </w:p>
          <w:p>
            <w:pPr>
              <w:pStyle w:val="Table"/>
              <w:tabs>
                <w:tab w:val="clear" w:pos="720"/>
                <w:tab w:val="left" w:pos="172" w:leader="none"/>
              </w:tabs>
              <w:rPr>
                <w:rFonts w:cs="Arial"/>
              </w:rPr>
            </w:pPr>
            <w:r>
              <w:rPr>
                <w:rFonts w:cs="Arial"/>
              </w:rPr>
              <w:tab/>
              <w:t>Primary</w:t>
            </w:r>
          </w:p>
          <w:p>
            <w:pPr>
              <w:pStyle w:val="Table"/>
              <w:tabs>
                <w:tab w:val="clear" w:pos="720"/>
                <w:tab w:val="left" w:pos="172" w:leader="none"/>
              </w:tabs>
              <w:rPr>
                <w:rFonts w:cs="Arial"/>
              </w:rPr>
            </w:pPr>
            <w:r>
              <w:rPr>
                <w:rFonts w:cs="Arial"/>
              </w:rPr>
              <w:tab/>
              <w:t>Secondary</w:t>
            </w:r>
          </w:p>
        </w:tc>
        <w:tc>
          <w:tcPr>
            <w:tcW w:w="1872" w:type="dxa"/>
            <w:tcBorders/>
          </w:tcPr>
          <w:p>
            <w:pPr>
              <w:pStyle w:val="Table"/>
              <w:tabs>
                <w:tab w:val="clear" w:pos="720"/>
                <w:tab w:val="decimal" w:pos="792" w:leader="none"/>
              </w:tabs>
              <w:snapToGrid w:val="false"/>
              <w:rPr>
                <w:rFonts w:cs="Arial"/>
              </w:rPr>
            </w:pPr>
            <w:r>
              <w:rPr>
                <w:rFonts w:cs="Arial"/>
              </w:rPr>
            </w:r>
          </w:p>
          <w:p>
            <w:pPr>
              <w:pStyle w:val="Table"/>
              <w:tabs>
                <w:tab w:val="clear" w:pos="720"/>
                <w:tab w:val="decimal" w:pos="792" w:leader="none"/>
              </w:tabs>
              <w:rPr>
                <w:rFonts w:cs="Arial"/>
              </w:rPr>
            </w:pPr>
            <w:r>
              <w:rPr>
                <w:rFonts w:cs="Arial"/>
              </w:rPr>
              <w:t>4.57</w:t>
            </w:r>
          </w:p>
          <w:p>
            <w:pPr>
              <w:pStyle w:val="Table"/>
              <w:tabs>
                <w:tab w:val="clear" w:pos="720"/>
                <w:tab w:val="decimal" w:pos="792" w:leader="none"/>
              </w:tabs>
              <w:rPr>
                <w:rFonts w:cs="Arial"/>
              </w:rPr>
            </w:pPr>
            <w:r>
              <w:rPr>
                <w:rFonts w:cs="Arial"/>
              </w:rPr>
              <w:t>6.79</w:t>
            </w:r>
          </w:p>
          <w:p>
            <w:pPr>
              <w:pStyle w:val="Table"/>
              <w:tabs>
                <w:tab w:val="clear" w:pos="720"/>
                <w:tab w:val="decimal" w:pos="792" w:leader="none"/>
              </w:tabs>
              <w:rPr>
                <w:rFonts w:cs="Arial"/>
              </w:rPr>
            </w:pPr>
            <w:r>
              <w:rPr>
                <w:rFonts w:cs="Arial"/>
              </w:rPr>
              <w:t>8.01</w:t>
            </w:r>
          </w:p>
        </w:tc>
        <w:tc>
          <w:tcPr>
            <w:tcW w:w="1872" w:type="dxa"/>
            <w:tcBorders/>
          </w:tcPr>
          <w:p>
            <w:pPr>
              <w:pStyle w:val="Table"/>
              <w:tabs>
                <w:tab w:val="clear" w:pos="720"/>
                <w:tab w:val="decimal" w:pos="854" w:leader="none"/>
              </w:tabs>
              <w:snapToGrid w:val="false"/>
              <w:rPr>
                <w:rFonts w:cs="Arial"/>
              </w:rPr>
            </w:pPr>
            <w:r>
              <w:rPr>
                <w:rFonts w:cs="Arial"/>
              </w:rPr>
            </w:r>
          </w:p>
          <w:p>
            <w:pPr>
              <w:pStyle w:val="Table"/>
              <w:tabs>
                <w:tab w:val="clear" w:pos="720"/>
                <w:tab w:val="decimal" w:pos="854" w:leader="none"/>
              </w:tabs>
              <w:rPr>
                <w:rFonts w:cs="Arial"/>
              </w:rPr>
            </w:pPr>
            <w:r>
              <w:rPr>
                <w:rFonts w:cs="Arial"/>
              </w:rPr>
              <w:t>8.53</w:t>
            </w:r>
          </w:p>
          <w:p>
            <w:pPr>
              <w:pStyle w:val="Table"/>
              <w:tabs>
                <w:tab w:val="clear" w:pos="720"/>
                <w:tab w:val="decimal" w:pos="854" w:leader="none"/>
              </w:tabs>
              <w:rPr>
                <w:rFonts w:cs="Arial"/>
              </w:rPr>
            </w:pPr>
            <w:r>
              <w:rPr>
                <w:rFonts w:cs="Arial"/>
              </w:rPr>
              <w:t>10.37</w:t>
            </w:r>
          </w:p>
          <w:p>
            <w:pPr>
              <w:pStyle w:val="Table"/>
              <w:tabs>
                <w:tab w:val="clear" w:pos="720"/>
                <w:tab w:val="decimal" w:pos="854" w:leader="none"/>
              </w:tabs>
              <w:rPr>
                <w:rFonts w:cs="Arial"/>
              </w:rPr>
            </w:pPr>
            <w:r>
              <w:rPr>
                <w:rFonts w:cs="Arial"/>
              </w:rPr>
              <w:t>12.18</w:t>
            </w:r>
          </w:p>
          <w:p>
            <w:pPr>
              <w:pStyle w:val="Table"/>
              <w:tabs>
                <w:tab w:val="clear" w:pos="720"/>
                <w:tab w:val="decimal" w:pos="854" w:leader="none"/>
              </w:tabs>
              <w:rPr>
                <w:rFonts w:cs="Arial"/>
              </w:rPr>
            </w:pPr>
            <w:r>
              <w:rPr>
                <w:rFonts w:cs="Arial"/>
              </w:rPr>
            </w:r>
          </w:p>
        </w:tc>
        <w:tc>
          <w:tcPr>
            <w:tcW w:w="1440" w:type="dxa"/>
            <w:tcBorders/>
          </w:tcPr>
          <w:p>
            <w:pPr>
              <w:pStyle w:val="Table"/>
              <w:tabs>
                <w:tab w:val="clear" w:pos="720"/>
                <w:tab w:val="decimal" w:pos="602" w:leader="none"/>
              </w:tabs>
              <w:snapToGrid w:val="false"/>
              <w:rPr>
                <w:rFonts w:cs="Arial"/>
              </w:rPr>
            </w:pPr>
            <w:r>
              <w:rPr>
                <w:rFonts w:cs="Arial"/>
              </w:rPr>
            </w:r>
          </w:p>
          <w:p>
            <w:pPr>
              <w:pStyle w:val="Table"/>
              <w:tabs>
                <w:tab w:val="clear" w:pos="720"/>
                <w:tab w:val="decimal" w:pos="602" w:leader="none"/>
              </w:tabs>
              <w:rPr>
                <w:rFonts w:cs="Arial"/>
              </w:rPr>
            </w:pPr>
            <w:r>
              <w:rPr>
                <w:rFonts w:cs="Arial"/>
              </w:rPr>
              <w:t>86.4</w:t>
            </w:r>
          </w:p>
          <w:p>
            <w:pPr>
              <w:pStyle w:val="Table"/>
              <w:tabs>
                <w:tab w:val="clear" w:pos="720"/>
                <w:tab w:val="decimal" w:pos="602" w:leader="none"/>
              </w:tabs>
              <w:rPr>
                <w:rFonts w:cs="Arial"/>
              </w:rPr>
            </w:pPr>
            <w:r>
              <w:rPr>
                <w:rFonts w:cs="Arial"/>
              </w:rPr>
              <w:t>52.7</w:t>
            </w:r>
          </w:p>
          <w:p>
            <w:pPr>
              <w:pStyle w:val="Table"/>
              <w:tabs>
                <w:tab w:val="clear" w:pos="720"/>
                <w:tab w:val="decimal" w:pos="602" w:leader="none"/>
              </w:tabs>
              <w:rPr>
                <w:rFonts w:cs="Arial"/>
              </w:rPr>
            </w:pPr>
            <w:r>
              <w:rPr>
                <w:rFonts w:cs="Arial"/>
              </w:rPr>
              <w:t>52.1</w:t>
            </w:r>
          </w:p>
          <w:p>
            <w:pPr>
              <w:pStyle w:val="Table"/>
              <w:tabs>
                <w:tab w:val="clear" w:pos="720"/>
                <w:tab w:val="decimal" w:pos="602" w:leader="none"/>
              </w:tabs>
              <w:rPr>
                <w:rFonts w:cs="Arial"/>
              </w:rPr>
            </w:pPr>
            <w:r>
              <w:rPr>
                <w:rFonts w:cs="Arial"/>
              </w:rPr>
            </w:r>
          </w:p>
        </w:tc>
      </w:tr>
      <w:tr>
        <w:trPr/>
        <w:tc>
          <w:tcPr>
            <w:tcW w:w="704" w:type="dxa"/>
            <w:tcBorders/>
          </w:tcPr>
          <w:p>
            <w:pPr>
              <w:pStyle w:val="Table"/>
              <w:jc w:val="center"/>
              <w:rPr>
                <w:rFonts w:cs="Arial"/>
              </w:rPr>
            </w:pPr>
            <w:r>
              <w:rPr>
                <w:rFonts w:cs="Arial"/>
              </w:rPr>
              <w:t>8</w:t>
            </w:r>
          </w:p>
        </w:tc>
        <w:tc>
          <w:tcPr>
            <w:tcW w:w="2592" w:type="dxa"/>
            <w:tcBorders/>
          </w:tcPr>
          <w:p>
            <w:pPr>
              <w:pStyle w:val="Table"/>
              <w:rPr>
                <w:rFonts w:cs="Arial"/>
              </w:rPr>
            </w:pPr>
            <w:r>
              <w:rPr>
                <w:rFonts w:cs="Arial"/>
              </w:rPr>
              <w:t>Agriculture</w:t>
            </w:r>
          </w:p>
          <w:p>
            <w:pPr>
              <w:pStyle w:val="Table"/>
              <w:rPr>
                <w:rFonts w:cs="Arial"/>
              </w:rPr>
            </w:pPr>
            <w:r>
              <w:rPr>
                <w:rFonts w:cs="Arial"/>
              </w:rPr>
            </w:r>
          </w:p>
        </w:tc>
        <w:tc>
          <w:tcPr>
            <w:tcW w:w="1872" w:type="dxa"/>
            <w:tcBorders/>
          </w:tcPr>
          <w:p>
            <w:pPr>
              <w:pStyle w:val="Table"/>
              <w:tabs>
                <w:tab w:val="clear" w:pos="720"/>
                <w:tab w:val="decimal" w:pos="792" w:leader="none"/>
              </w:tabs>
              <w:rPr>
                <w:rFonts w:cs="Arial"/>
              </w:rPr>
            </w:pPr>
            <w:r>
              <w:rPr>
                <w:rFonts w:cs="Arial"/>
              </w:rPr>
              <w:t>10.91</w:t>
            </w:r>
          </w:p>
        </w:tc>
        <w:tc>
          <w:tcPr>
            <w:tcW w:w="1872" w:type="dxa"/>
            <w:tcBorders/>
          </w:tcPr>
          <w:p>
            <w:pPr>
              <w:pStyle w:val="Table"/>
              <w:tabs>
                <w:tab w:val="clear" w:pos="720"/>
                <w:tab w:val="decimal" w:pos="854" w:leader="none"/>
              </w:tabs>
              <w:rPr>
                <w:rFonts w:cs="Arial"/>
              </w:rPr>
            </w:pPr>
            <w:r>
              <w:rPr>
                <w:rFonts w:cs="Arial"/>
              </w:rPr>
              <w:t>13.15</w:t>
            </w:r>
          </w:p>
        </w:tc>
        <w:tc>
          <w:tcPr>
            <w:tcW w:w="1440" w:type="dxa"/>
            <w:tcBorders/>
          </w:tcPr>
          <w:p>
            <w:pPr>
              <w:pStyle w:val="Table"/>
              <w:tabs>
                <w:tab w:val="clear" w:pos="720"/>
                <w:tab w:val="decimal" w:pos="602" w:leader="none"/>
              </w:tabs>
              <w:rPr>
                <w:rFonts w:cs="Arial"/>
              </w:rPr>
            </w:pPr>
            <w:r>
              <w:rPr>
                <w:rFonts w:cs="Arial"/>
              </w:rPr>
              <w:t>20.5</w:t>
            </w:r>
          </w:p>
        </w:tc>
      </w:tr>
      <w:tr>
        <w:trPr/>
        <w:tc>
          <w:tcPr>
            <w:tcW w:w="704" w:type="dxa"/>
            <w:tcBorders/>
          </w:tcPr>
          <w:p>
            <w:pPr>
              <w:pStyle w:val="Table"/>
              <w:jc w:val="center"/>
              <w:rPr>
                <w:rFonts w:cs="Arial"/>
              </w:rPr>
            </w:pPr>
            <w:r>
              <w:rPr>
                <w:rFonts w:cs="Arial"/>
              </w:rPr>
              <w:t>9</w:t>
            </w:r>
          </w:p>
        </w:tc>
        <w:tc>
          <w:tcPr>
            <w:tcW w:w="2592" w:type="dxa"/>
            <w:tcBorders/>
          </w:tcPr>
          <w:p>
            <w:pPr>
              <w:pStyle w:val="Table"/>
              <w:rPr>
                <w:rFonts w:cs="Arial"/>
              </w:rPr>
            </w:pPr>
            <w:r>
              <w:rPr>
                <w:rFonts w:cs="Arial"/>
              </w:rPr>
              <w:t>Streetlights</w:t>
            </w:r>
          </w:p>
          <w:p>
            <w:pPr>
              <w:pStyle w:val="Table"/>
              <w:rPr>
                <w:rFonts w:cs="Arial"/>
              </w:rPr>
            </w:pPr>
            <w:r>
              <w:rPr>
                <w:rFonts w:cs="Arial"/>
              </w:rPr>
            </w:r>
          </w:p>
        </w:tc>
        <w:tc>
          <w:tcPr>
            <w:tcW w:w="1872" w:type="dxa"/>
            <w:tcBorders/>
          </w:tcPr>
          <w:p>
            <w:pPr>
              <w:pStyle w:val="Table"/>
              <w:tabs>
                <w:tab w:val="clear" w:pos="720"/>
                <w:tab w:val="decimal" w:pos="792" w:leader="none"/>
              </w:tabs>
              <w:rPr>
                <w:rFonts w:cs="Arial"/>
              </w:rPr>
            </w:pPr>
            <w:r>
              <w:rPr>
                <w:rFonts w:cs="Arial"/>
              </w:rPr>
              <w:t>12.23</w:t>
            </w:r>
          </w:p>
        </w:tc>
        <w:tc>
          <w:tcPr>
            <w:tcW w:w="1872" w:type="dxa"/>
            <w:tcBorders/>
          </w:tcPr>
          <w:p>
            <w:pPr>
              <w:pStyle w:val="Table"/>
              <w:tabs>
                <w:tab w:val="clear" w:pos="720"/>
                <w:tab w:val="decimal" w:pos="854" w:leader="none"/>
              </w:tabs>
              <w:rPr>
                <w:rFonts w:cs="Arial"/>
              </w:rPr>
            </w:pPr>
            <w:r>
              <w:rPr>
                <w:rFonts w:cs="Arial"/>
              </w:rPr>
              <w:t>12.76</w:t>
            </w:r>
          </w:p>
        </w:tc>
        <w:tc>
          <w:tcPr>
            <w:tcW w:w="1440" w:type="dxa"/>
            <w:tcBorders/>
          </w:tcPr>
          <w:p>
            <w:pPr>
              <w:pStyle w:val="Table"/>
              <w:tabs>
                <w:tab w:val="clear" w:pos="720"/>
                <w:tab w:val="decimal" w:pos="602" w:leader="none"/>
              </w:tabs>
              <w:rPr>
                <w:rFonts w:cs="Arial"/>
              </w:rPr>
            </w:pPr>
            <w:r>
              <w:rPr>
                <w:rFonts w:cs="Arial"/>
              </w:rPr>
              <w:t>4.3</w:t>
            </w:r>
          </w:p>
        </w:tc>
      </w:tr>
      <w:tr>
        <w:trPr/>
        <w:tc>
          <w:tcPr>
            <w:tcW w:w="704" w:type="dxa"/>
            <w:tcBorders/>
          </w:tcPr>
          <w:p>
            <w:pPr>
              <w:pStyle w:val="Table"/>
              <w:jc w:val="center"/>
              <w:rPr>
                <w:rFonts w:cs="Arial"/>
              </w:rPr>
            </w:pPr>
            <w:r>
              <w:rPr>
                <w:rFonts w:cs="Arial"/>
              </w:rPr>
              <w:t>10</w:t>
            </w:r>
          </w:p>
        </w:tc>
        <w:tc>
          <w:tcPr>
            <w:tcW w:w="2592" w:type="dxa"/>
            <w:tcBorders/>
          </w:tcPr>
          <w:p>
            <w:pPr>
              <w:pStyle w:val="Table"/>
              <w:rPr>
                <w:rFonts w:cs="Arial"/>
              </w:rPr>
            </w:pPr>
            <w:r>
              <w:rPr>
                <w:rFonts w:cs="Arial"/>
              </w:rPr>
              <w:t>System Average</w:t>
            </w:r>
          </w:p>
        </w:tc>
        <w:tc>
          <w:tcPr>
            <w:tcW w:w="1872" w:type="dxa"/>
            <w:tcBorders/>
          </w:tcPr>
          <w:p>
            <w:pPr>
              <w:pStyle w:val="Table"/>
              <w:tabs>
                <w:tab w:val="clear" w:pos="720"/>
                <w:tab w:val="decimal" w:pos="792" w:leader="none"/>
              </w:tabs>
              <w:rPr>
                <w:rFonts w:cs="Arial"/>
              </w:rPr>
            </w:pPr>
            <w:r>
              <w:rPr>
                <w:rFonts w:cs="Arial"/>
              </w:rPr>
              <w:t>9.38</w:t>
            </w:r>
          </w:p>
        </w:tc>
        <w:tc>
          <w:tcPr>
            <w:tcW w:w="1872" w:type="dxa"/>
            <w:tcBorders/>
          </w:tcPr>
          <w:p>
            <w:pPr>
              <w:pStyle w:val="Table"/>
              <w:tabs>
                <w:tab w:val="clear" w:pos="720"/>
                <w:tab w:val="decimal" w:pos="854" w:leader="none"/>
              </w:tabs>
              <w:rPr/>
            </w:pPr>
            <w:r>
              <w:rPr>
                <w:rFonts w:cs="Arial"/>
              </w:rPr>
              <w:t>11.49</w:t>
            </w:r>
            <w:r>
              <w:rPr>
                <w:rFonts w:cs="Arial"/>
                <w:b/>
                <w:bCs/>
                <w:position w:val="6"/>
              </w:rPr>
              <w:t>[</w:t>
            </w:r>
            <w:r>
              <w:rPr>
                <w:rStyle w:val="FootnoteCharacters"/>
                <w:rStyle w:val="FootnoteReference"/>
                <w:rFonts w:cs="Arial"/>
                <w:bCs/>
              </w:rPr>
              <w:footnoteReference w:id="6"/>
            </w:r>
            <w:r>
              <w:rPr>
                <w:rFonts w:cs="Arial"/>
                <w:b/>
                <w:bCs/>
                <w:position w:val="6"/>
              </w:rPr>
              <w:t>]</w:t>
            </w:r>
          </w:p>
        </w:tc>
        <w:tc>
          <w:tcPr>
            <w:tcW w:w="1440" w:type="dxa"/>
            <w:tcBorders/>
          </w:tcPr>
          <w:p>
            <w:pPr>
              <w:pStyle w:val="Table"/>
              <w:tabs>
                <w:tab w:val="clear" w:pos="720"/>
                <w:tab w:val="decimal" w:pos="602" w:leader="none"/>
              </w:tabs>
              <w:rPr>
                <w:rFonts w:cs="Arial"/>
              </w:rPr>
            </w:pPr>
            <w:r>
              <w:rPr>
                <w:rFonts w:cs="Arial"/>
              </w:rPr>
              <w:t>22.4</w:t>
            </w:r>
          </w:p>
        </w:tc>
      </w:tr>
      <w:tr>
        <w:trPr/>
        <w:tc>
          <w:tcPr>
            <w:tcW w:w="8480" w:type="dxa"/>
            <w:gridSpan w:val="5"/>
            <w:tcBorders/>
          </w:tcPr>
          <w:p>
            <w:pPr>
              <w:pStyle w:val="Table"/>
              <w:snapToGrid w:val="false"/>
              <w:rPr>
                <w:rFonts w:ascii="Times New Roman" w:hAnsi="Times New Roman" w:cs="Arial"/>
                <w:color w:val="000000"/>
                <w:sz w:val="20"/>
              </w:rPr>
            </w:pPr>
            <w:r>
              <w:rPr>
                <w:rFonts w:cs="Arial" w:ascii="Times New Roman" w:hAnsi="Times New Roman"/>
                <w:color w:val="000000"/>
                <w:sz w:val="20"/>
              </w:rPr>
            </w:r>
          </w:p>
          <w:p>
            <w:pPr>
              <w:pStyle w:val="Table"/>
              <w:rPr>
                <w:rFonts w:cs="Arial"/>
              </w:rPr>
            </w:pPr>
            <w:r>
              <w:rPr>
                <w:rFonts w:cs="Arial"/>
              </w:rPr>
              <w:t>*  Schedule E-19 (Mandatory) and E-20 prices are not stabilized.</w:t>
            </w:r>
          </w:p>
        </w:tc>
      </w:tr>
    </w:tbl>
    <w:p>
      <w:pPr>
        <w:pStyle w:val="Body1"/>
        <w:suppressLineNumbers/>
        <w:rPr>
          <w:rFonts w:cs="Arial"/>
          <w:szCs w:val="24"/>
        </w:rPr>
      </w:pPr>
      <w:r>
        <w:rPr>
          <w:rFonts w:cs="Arial"/>
          <w:szCs w:val="24"/>
        </w:rPr>
      </w:r>
    </w:p>
    <w:p>
      <w:pPr>
        <w:pStyle w:val="Body1"/>
        <w:rPr>
          <w:rFonts w:cs="Arial"/>
        </w:rPr>
      </w:pPr>
      <w:r>
        <w:rPr>
          <w:rFonts w:cs="Arial"/>
        </w:rPr>
        <w:t>Under PG&amp;E’s proposal, the “starting” rate of 6.5 cents per kWh is the maximum starting price for energy for residential customers on rate Schedule E</w:t>
        <w:noBreakHyphen/>
        <w:t>1.  However, there are a number of factors that will affect the actual price per kWh that non-Schedule E</w:t>
        <w:noBreakHyphen/>
        <w:t>1 customers see on their bills.  Specifically, PG&amp;E proposes to differentiate the 6.5 cents per kWh to reflect:  (1) line losses; (2) time-of-use characteristics; and (3) the load profile of each customer class.</w:t>
      </w:r>
    </w:p>
    <w:p>
      <w:pPr>
        <w:pStyle w:val="Body1"/>
        <w:rPr/>
      </w:pPr>
      <w:r>
        <w:rPr>
          <w:rFonts w:cs="Arial"/>
        </w:rPr>
        <w:t>As a result of line losses, it is less costly to provide energy to customers taking service at transmission level than it is to provide energy at primary and secondary distribution levels.</w:t>
      </w:r>
      <w:r>
        <w:rPr>
          <w:rFonts w:cs="Arial"/>
          <w:b/>
          <w:bCs/>
          <w:position w:val="6"/>
        </w:rPr>
        <w:t>[</w:t>
      </w:r>
      <w:r>
        <w:rPr>
          <w:rStyle w:val="FootnoteCharacters"/>
          <w:rStyle w:val="FootnoteReference"/>
          <w:bCs/>
        </w:rPr>
        <w:footnoteReference w:id="7"/>
      </w:r>
      <w:r>
        <w:rPr>
          <w:b/>
          <w:bCs/>
          <w:position w:val="6"/>
        </w:rPr>
        <w:t>]</w:t>
      </w:r>
      <w:r>
        <w:rPr/>
        <w:t xml:space="preserve">  PG&amp;E will differentiate the starting point rate at each voltage level to reflect these cost of service differences.</w:t>
      </w:r>
    </w:p>
    <w:p>
      <w:pPr>
        <w:pStyle w:val="Body1"/>
        <w:rPr>
          <w:rFonts w:cs="Arial"/>
        </w:rPr>
      </w:pPr>
      <w:r>
        <w:rPr>
          <w:rFonts w:cs="Arial"/>
        </w:rPr>
        <w:t>To ensure the effect of stabilizing prices does not eliminate incentives for customers on time-of-use rate schedules to avoid peak-period use, as described in Chapter 7, PG&amp;E proposes to retain time-of-use rate differentials under its capping proposal.</w:t>
      </w:r>
    </w:p>
    <w:p>
      <w:pPr>
        <w:pStyle w:val="Body1"/>
        <w:rPr>
          <w:rFonts w:cs="Arial"/>
        </w:rPr>
      </w:pPr>
      <w:r>
        <w:rPr>
          <w:rFonts w:cs="Arial"/>
        </w:rPr>
        <w:t>Finally, the cost of providing power to each customer class varies according to the load profile of that class.  For example, all else being the same, a customer class that uses a greater portion of its energy in the peak period would be expected to pay an overall higher charge for energy.  PG&amp;E proposes to reflect this load-profile-based cost of service difference in the energy price applied to each customer class.</w:t>
      </w:r>
    </w:p>
    <w:p>
      <w:pPr>
        <w:pStyle w:val="Body1"/>
        <w:rPr>
          <w:rFonts w:cs="Arial"/>
        </w:rPr>
      </w:pPr>
      <w:r>
        <w:rPr>
          <w:rFonts w:cs="Arial"/>
        </w:rPr>
        <w:t>Chapter 7 describes the application of these adjustments to the starting rate in greater detail.</w:t>
      </w:r>
    </w:p>
    <w:p>
      <w:pPr>
        <w:pStyle w:val="Heading2"/>
        <w:ind w:firstLine="432" w:start="0"/>
        <w:rPr/>
      </w:pPr>
      <w:bookmarkStart w:id="4" w:name="__RefHeading___Toc499516937"/>
      <w:bookmarkEnd w:id="4"/>
      <w:r>
        <w:rPr>
          <w:rFonts w:cs="Arial"/>
        </w:rPr>
        <w:t>Managing the Stabilized Rate to Balance Rate Stability for Customers and Financial Stability for PG&amp;E</w:t>
      </w:r>
    </w:p>
    <w:p>
      <w:pPr>
        <w:pStyle w:val="Body2"/>
        <w:rPr>
          <w:rFonts w:cs="Arial"/>
        </w:rPr>
      </w:pPr>
      <w:r>
        <w:rPr>
          <w:rFonts w:cs="Arial"/>
        </w:rPr>
        <w:t>If wholesale prices remain above the initial stabilized rate, the uncollected amounts will build up, and PG&amp;E will be unable to recover those amounts in a reasonable time.  Due to the limits on financing capacity, PG&amp;E cannot indefinitely carry deferred costs for its customers.  As described in Chapter 3, the company’s current financing ability is limited.  Given this constraint, PG&amp;E proposes two mechanisms to manage the set price.</w:t>
      </w:r>
    </w:p>
    <w:p>
      <w:pPr>
        <w:pStyle w:val="Body2"/>
        <w:rPr>
          <w:rFonts w:cs="Arial"/>
        </w:rPr>
      </w:pPr>
      <w:r>
        <w:rPr>
          <w:rFonts w:cs="Arial"/>
        </w:rPr>
        <w:t>First, at the end of each calendar year, any commodity price will be reset based on projected sales for the next year and any outstanding undercollections.  The commodity price will be set to amortize any undercollected energy costs over the next 24 months.  This change will take place by means of an advice filing and will become effective automatically on January 1.</w:t>
      </w:r>
    </w:p>
    <w:p>
      <w:pPr>
        <w:pStyle w:val="Body2"/>
        <w:rPr/>
      </w:pPr>
      <w:r>
        <w:rPr>
          <w:rFonts w:cs="Arial"/>
        </w:rPr>
        <w:t>Second, if commodity prices continue to rise, and undercollections mount, such that PG&amp;E’s total undercollections or rate of undercollection exceed certain thresholds</w:t>
      </w:r>
      <w:r>
        <w:rPr>
          <w:rFonts w:cs="Arial"/>
          <w:b/>
          <w:bCs/>
          <w:color w:val="000000"/>
          <w:position w:val="6"/>
        </w:rPr>
        <w:t>[</w:t>
      </w:r>
      <w:r>
        <w:rPr>
          <w:rStyle w:val="FootnoteCharacters"/>
          <w:rStyle w:val="FootnoteReference"/>
          <w:rFonts w:cs="Arial"/>
          <w:bCs/>
        </w:rPr>
        <w:footnoteReference w:id="8"/>
      </w:r>
      <w:r>
        <w:rPr>
          <w:rFonts w:cs="Arial"/>
          <w:b/>
          <w:color w:val="000000"/>
          <w:position w:val="6"/>
        </w:rPr>
        <w:t>]</w:t>
      </w:r>
      <w:r>
        <w:rPr>
          <w:rFonts w:cs="Arial"/>
        </w:rPr>
        <w:t xml:space="preserve"> prior to the end-of-year adjustment, PG&amp;E proposes an automatic adjustment of one cent per kWh beginning the month after the trigger amount was exceeded.  (If the month in which the trigger is exceeded is the month before the annual end of year adjustment, the one cent per kWh change would be “rolled in” with the end of year adjustment.)  This “relief valve” would only be triggered in extreme circumstances, could occur no more than twice each year between annual end-of-year adjustments and would ensure PG&amp;E’s ability to continue to finance undercollections until the regularly scheduled year-end adjustments were made.  As with the year-end adjustment, the change in rates would be accomplished through an advice filing which would become effective on filing.  </w:t>
      </w:r>
    </w:p>
    <w:p>
      <w:pPr>
        <w:pStyle w:val="Heading2"/>
        <w:ind w:firstLine="432" w:start="0"/>
        <w:rPr/>
      </w:pPr>
      <w:bookmarkStart w:id="5" w:name="__RefHeading___Toc499516938"/>
      <w:bookmarkEnd w:id="5"/>
      <w:r>
        <w:rPr>
          <w:rFonts w:cs="Arial"/>
        </w:rPr>
        <w:t>Mandatory Rate Stabilization Term</w:t>
      </w:r>
    </w:p>
    <w:p>
      <w:pPr>
        <w:pStyle w:val="Body2"/>
        <w:rPr>
          <w:rFonts w:cs="Arial"/>
        </w:rPr>
      </w:pPr>
      <w:r>
        <w:rPr>
          <w:rFonts w:cs="Arial"/>
        </w:rPr>
        <w:t>PG&amp;E proposes the mandatory rate stabilization remain in place for five years beginning January 1, 2001, but in no case would the mandatory rate stabilization end later than December 31, 2005.  It is conceivable that, before the mandatory rate stabilization end date, wholesale prices will come down, the DPRA will be zeroed out and the plan will not be needed; i.e., rates will be low enough without the mandatory rate stabilization that there will no longer be a need to defer cost recovery.  It is also conceivable that at the end of five years, a balance will still exist in the DPRA which will need to be recovered in subsequent years.  PG&amp;E believes there is insufficient information available today to determine when “normalcy” will return to the wholesale markets.</w:t>
      </w:r>
    </w:p>
    <w:p>
      <w:pPr>
        <w:pStyle w:val="Heading1"/>
        <w:ind w:firstLine="432" w:start="0"/>
        <w:rPr/>
      </w:pPr>
      <w:bookmarkStart w:id="6" w:name="__RefHeading___Toc499516939"/>
      <w:bookmarkEnd w:id="6"/>
      <w:r>
        <w:rPr>
          <w:rFonts w:cs="Arial"/>
        </w:rPr>
        <w:t>Applicability</w:t>
      </w:r>
    </w:p>
    <w:p>
      <w:pPr>
        <w:pStyle w:val="Body1"/>
        <w:rPr>
          <w:rFonts w:cs="Arial"/>
        </w:rPr>
      </w:pPr>
      <w:r>
        <w:rPr>
          <w:rFonts w:cs="Arial"/>
        </w:rPr>
        <w:t>PG&amp;E proposes that all customers, except those under Schedules S, E</w:t>
        <w:noBreakHyphen/>
        <w:t>19 (Mandatory), E</w:t>
        <w:noBreakHyphen/>
        <w:t>20 and E</w:t>
        <w:noBreakHyphen/>
        <w:t>25, be required to participate in the mandatory rate stabilization.  To the extent a DA or a Schedule H</w:t>
        <w:noBreakHyphen/>
        <w:t>PX customer’s otherwise-applicable rate schedule falls under the mandatory rate stabilization, PG&amp;E proposes that the mandatory rate stabilization apply to these customers as well.</w:t>
      </w:r>
    </w:p>
    <w:p>
      <w:pPr>
        <w:pStyle w:val="Body1"/>
        <w:rPr>
          <w:kern w:val="2"/>
        </w:rPr>
      </w:pPr>
      <w:r>
        <w:rPr>
          <w:rFonts w:cs="Arial"/>
        </w:rPr>
        <w:t>While we have heard in numerous forums from large commercial and industrial customer representatives that they are not interested in participating in a mandatory rate stabilization,</w:t>
      </w:r>
      <w:r>
        <w:rPr>
          <w:rFonts w:cs="Arial"/>
          <w:b/>
          <w:bCs/>
          <w:position w:val="6"/>
        </w:rPr>
        <w:t>[</w:t>
      </w:r>
      <w:r>
        <w:rPr>
          <w:rStyle w:val="FootnoteCharacters"/>
          <w:rStyle w:val="FootnoteReference"/>
          <w:bCs/>
        </w:rPr>
        <w:footnoteReference w:id="9"/>
      </w:r>
      <w:r>
        <w:rPr>
          <w:b/>
          <w:bCs/>
          <w:position w:val="6"/>
        </w:rPr>
        <w:t>]</w:t>
      </w:r>
      <w:r>
        <w:rPr/>
        <w:t xml:space="preserve"> PG&amp;E proposes that customers that are not covered on a mandatory basis have an option to participate in the optional rate stabilization as described in Section E below.</w:t>
      </w:r>
    </w:p>
    <w:p>
      <w:pPr>
        <w:pStyle w:val="Body1"/>
        <w:rPr>
          <w:rFonts w:cs="Arial"/>
          <w:kern w:val="2"/>
        </w:rPr>
      </w:pPr>
      <w:r>
        <w:rPr>
          <w:rFonts w:cs="Arial"/>
          <w:kern w:val="2"/>
        </w:rPr>
        <w:t xml:space="preserve">While Energy Service Providers (ESPs) may be able to provide customers with equal or greater benefits than the mandatory rate stabilization proposed by PG&amp;E, we are proposing that DA customers be required to participate in the mandatory rate stabilization to the extent that their otherwise-applicable schedule defaults to the mandatory rate stabilization.  PG&amp;E believes that it is important to require such participation to avoid gaming.  </w:t>
      </w:r>
    </w:p>
    <w:p>
      <w:pPr>
        <w:pStyle w:val="Body1"/>
        <w:rPr>
          <w:rFonts w:cs="Arial"/>
          <w:kern w:val="2"/>
        </w:rPr>
      </w:pPr>
      <w:r>
        <w:rPr>
          <w:rFonts w:cs="Arial"/>
          <w:kern w:val="2"/>
        </w:rPr>
        <w:t>Under PG&amp;E’s mandatory rate stabilization, particularly in the latter part of the RSP period, if current wholesale market dysfunctions are mitigated or PG&amp;E is able to mitigate volatility through longer-term forward contracting, the stabilized price will be below the actual wholesale prices for some period and above it for some period.  If the benefits of rate stabilization are provided only to bundled service customers, customers may try to game the system by taking bundled service from PG&amp;E when the prices are below actual wholesale prices and switch to DA when prices are above wholesale prices.  Providing the benefits of the mandatory rate stabilization to DA customers such that they receive a credit equal to the amount of the deferred costs and an additional charge to recover the credit when wholesale prices are lower will eliminate the possibility of gaming.</w:t>
      </w:r>
    </w:p>
    <w:p>
      <w:pPr>
        <w:pStyle w:val="Heading1"/>
        <w:ind w:firstLine="432" w:start="0"/>
        <w:rPr/>
      </w:pPr>
      <w:bookmarkStart w:id="7" w:name="__RefHeading___Toc499516940"/>
      <w:bookmarkEnd w:id="7"/>
      <w:r>
        <w:rPr>
          <w:rFonts w:cs="Arial"/>
        </w:rPr>
        <w:t>Optional Rate Stabilization</w:t>
      </w:r>
    </w:p>
    <w:p>
      <w:pPr>
        <w:pStyle w:val="Body1"/>
        <w:rPr>
          <w:rFonts w:cs="Arial"/>
        </w:rPr>
      </w:pPr>
      <w:r>
        <w:rPr>
          <w:rFonts w:cs="Arial"/>
        </w:rPr>
        <w:t>Notwithstanding the stated lack of interest by industrial customer representatives in filings and proceedings before the Commission, PG&amp;E believes it is appropriate to offer at least an optional rate stabilization for large customers to mitigate the expected price volatility.  PG&amp;E proposes to allow these customers the opportunity to participate in an optional rate stabilization which would contain the same starting rate and triggers as the mandatory rate stabilization.  Customers could elect to participate in the opt-in program for a 12</w:t>
        <w:noBreakHyphen/>
        <w:t>month period.  At the end of the 12</w:t>
        <w:noBreakHyphen/>
        <w:t xml:space="preserve">month period the customers would be presented with a bill (or credit) for the difference between what they actually paid and what they would have paid if they had not opted in to the optional rate stabilization. </w:t>
      </w:r>
    </w:p>
    <w:p>
      <w:pPr>
        <w:pStyle w:val="Body1"/>
        <w:rPr>
          <w:rFonts w:cs="Arial"/>
        </w:rPr>
      </w:pPr>
      <w:r>
        <w:rPr>
          <w:rFonts w:cs="Arial"/>
        </w:rPr>
        <w:t>As a result of the limited time between now and the proposed interim effective date of the RSP, January 1, 2001, PG&amp;E will not be able to offer the optional program immediately.  Instead, PG&amp;E proposes that the optional program be made available March 31, 2001, which should allow sufficient time to inform customers of the program and get contracts signed.</w:t>
      </w:r>
    </w:p>
    <w:p>
      <w:pPr>
        <w:pStyle w:val="Heading1"/>
        <w:ind w:firstLine="432" w:start="0"/>
        <w:rPr/>
      </w:pPr>
      <w:bookmarkStart w:id="8" w:name="__RefHeading___Toc499516941"/>
      <w:bookmarkEnd w:id="8"/>
      <w:r>
        <w:rPr/>
        <w:t>Unrecovered Cost of Service Account Rate</w:t>
      </w:r>
    </w:p>
    <w:p>
      <w:pPr>
        <w:pStyle w:val="Body1"/>
        <w:rPr>
          <w:rFonts w:cs="Arial"/>
        </w:rPr>
      </w:pPr>
      <w:r>
        <w:rPr>
          <w:rFonts w:cs="Arial"/>
        </w:rPr>
        <w:t>The UCSA and its related rate component recover from customers the uncollected costs of providing service that resulted from:  (1) previously frozen rate levels well below the actual cost of providing service; and (2) the large credits on DA customers bills associated with extremely high PX prices.  Given the genesis of this undercollection, PG&amp;E believes that these costs should be recoverable from all customers, i.e., both DA and bundled service customers.</w:t>
      </w:r>
    </w:p>
    <w:p>
      <w:pPr>
        <w:pStyle w:val="Body1"/>
        <w:rPr>
          <w:rFonts w:cs="Arial"/>
        </w:rPr>
      </w:pPr>
      <w:r>
        <w:rPr>
          <w:rFonts w:cs="Arial"/>
        </w:rPr>
        <w:t>To help moderate the increase customers would otherwise see, PG&amp;E is proposing that:  (1) the UCSA related to the TRA undercollection as of January 1, 2001, be amortized over five years; and (2) the UCSA in year one of the rate stabilization plan be offset by the ratepayer portion of the TCBA overcollection and that it be credited by deferring recovery of revenues from PG&amp;E retained nuclear and non-nuclear generating facilities.  Chapter 6 explains in detail how these generation revenues will be credited against the UCSA.</w:t>
      </w:r>
    </w:p>
    <w:p>
      <w:pPr>
        <w:pStyle w:val="Heading1"/>
        <w:ind w:firstLine="432" w:start="0"/>
        <w:rPr/>
      </w:pPr>
      <w:bookmarkStart w:id="9" w:name="__RefHeading___Toc499516942"/>
      <w:bookmarkEnd w:id="9"/>
      <w:r>
        <w:rPr>
          <w:rFonts w:cs="Arial"/>
        </w:rPr>
        <w:t>California Alternate Rates for Energy Program Changes</w:t>
      </w:r>
    </w:p>
    <w:p>
      <w:pPr>
        <w:pStyle w:val="Body1"/>
        <w:rPr>
          <w:rFonts w:cs="Arial"/>
        </w:rPr>
      </w:pPr>
      <w:r>
        <w:rPr>
          <w:rFonts w:cs="Arial"/>
        </w:rPr>
        <w:t>While this RSP will help to mitigate the effects of high rates and high bills on customers, absent significant reductions in wholesale prices, customers are expected to see significant increases in rates and bills in at least the first years of the RSP.  PG&amp;E is particularly concerned about the implications of these rate increases on low-income customers.  To ease the pressure on these customers, PG&amp;E is proposing to increase the current discount provided to low-income customers who participate in the California Alternative Rates for Energy (CARE) program from 15 percent to 25 percent.  The result of this proposed increase in the discount would reduce the proposed January 1, 2001, average bill increase for these customers to less than 3 percent.  The CARE discount would be returned to its current 15</w:t>
        <w:noBreakHyphen/>
        <w:t>percent level not later than the end of the RSP (December 31, 2005).</w:t>
      </w:r>
    </w:p>
    <w:p>
      <w:pPr>
        <w:pStyle w:val="Heading1"/>
        <w:ind w:firstLine="432" w:start="0"/>
        <w:rPr/>
      </w:pPr>
      <w:bookmarkStart w:id="10" w:name="__RefHeading___Toc499516943"/>
      <w:bookmarkEnd w:id="10"/>
      <w:r>
        <w:rPr>
          <w:rFonts w:cs="Arial"/>
        </w:rPr>
        <w:t>Nonbypassability of UCSA and DPRA</w:t>
      </w:r>
    </w:p>
    <w:p>
      <w:pPr>
        <w:pStyle w:val="Body1"/>
        <w:rPr/>
      </w:pPr>
      <w:r>
        <w:rPr>
          <w:rFonts w:cs="Arial"/>
        </w:rPr>
        <w:t>For all customers with demands less than 500 kW who are in the mandatory RSP, PG&amp;E proposes that the repayment of any accrued undercollection in the DPRA be nonbypassable.  That is, a customer cannot avoid its obligation to pay the unrecovered amount by having portions or all of its load depart PG&amp;E’s electric service.</w:t>
      </w:r>
      <w:r>
        <w:rPr>
          <w:rFonts w:cs="Arial"/>
          <w:b/>
          <w:position w:val="6"/>
        </w:rPr>
        <w:t>[</w:t>
      </w:r>
      <w:r>
        <w:rPr>
          <w:rStyle w:val="FootnoteCharacters"/>
          <w:rStyle w:val="FootnoteReference"/>
          <w:bCs/>
        </w:rPr>
        <w:footnoteReference w:id="10"/>
      </w:r>
      <w:r>
        <w:rPr>
          <w:rFonts w:cs="Arial"/>
          <w:b/>
          <w:position w:val="6"/>
        </w:rPr>
        <w:t>]</w:t>
      </w:r>
      <w:r>
        <w:rPr/>
        <w:t xml:space="preserve">  This is consistent with the nonbypassable nature of competition transition charges and trust transfer amounts.  Failure to make an accrued undercollection nonbypassable would create a perverse incentive for customers to remain with PG&amp;E when PG&amp;E’s prices are below actual wholesale prices (and PG&amp;E loses money by serving the customer) but switch to alternative distribution providers when wholesale prices are lower.  It would also be inequitable to leave remaining customers to foot the bill for the departing customer’s obligation under the RSP.</w:t>
      </w:r>
    </w:p>
    <w:p>
      <w:pPr>
        <w:pStyle w:val="Body1"/>
        <w:rPr>
          <w:rFonts w:cs="Arial"/>
        </w:rPr>
      </w:pPr>
      <w:r>
        <w:rPr>
          <w:rFonts w:cs="Arial"/>
        </w:rPr>
        <w:t>Similarly, the UCSA should be nonbypassable.  As is the case with recovery of deferred procurement costs and competition transition charges, it would be inequitable to allow customers to bypass this obligation by bypassing the utility’s distribution system.  Therefore, PG&amp;E believes that the UCSA should be a nonbypassable charge that is recoverable from all customers.</w:t>
      </w:r>
    </w:p>
    <w:p>
      <w:pPr>
        <w:pStyle w:val="Heading1"/>
        <w:ind w:firstLine="432" w:start="0"/>
        <w:rPr/>
      </w:pPr>
      <w:bookmarkStart w:id="11" w:name="__RefHeading___Toc499516944"/>
      <w:bookmarkEnd w:id="11"/>
      <w:r>
        <w:rPr>
          <w:rFonts w:cs="Arial"/>
        </w:rPr>
        <w:t>Conclusion</w:t>
      </w:r>
    </w:p>
    <w:p>
      <w:pPr>
        <w:pStyle w:val="Body1"/>
        <w:rPr>
          <w:rFonts w:cs="Arial"/>
        </w:rPr>
      </w:pPr>
      <w:r>
        <w:rPr>
          <w:rFonts w:cs="Arial"/>
        </w:rPr>
        <w:t>This chapter describes the need for a program to mitigate against high wholesale power prices in the future.  PG&amp;E’s RSP is a balanced and equitable plan for both ratepayers and shareholders.  As described above, PG&amp;E’s RSP offers customers protection against volatile energy prices while at the same time providing the needed benefit to the shareholders that the costs for high energy prices will be recovered over a reasonable period of time.  A more detailed description of how this proposal would be implemented is contained in Chapter 7.</w:t>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360" w:header="720" w:top="1008" w:footer="432" w:bottom="1008"/>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r>
    <w:r>
      <w:rPr/>
      <w:fldChar w:fldCharType="end"/>
    </w: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t>13</w:t>
    </w:r>
    <w:r>
      <w:rPr/>
      <w:fldChar w:fldCharType="end"/>
    </w:r>
    <w:r>
      <w:rPr/>
      <w:t>-</w:t>
    </w:r>
    <w:r>
      <w:rPr/>
      <w:fldChar w:fldCharType="begin"/>
    </w:r>
    <w:r>
      <w:rPr/>
      <w:instrText xml:space="preserve"> PAGE </w:instrText>
    </w:r>
    <w:r>
      <w:rPr/>
      <w:fldChar w:fldCharType="separate"/>
    </w:r>
    <w:r>
      <w:rPr/>
      <w:t>i</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SEQ chap \* ARABIC </w:instrText>
    </w:r>
    <w:r>
      <w:rPr/>
      <w:fldChar w:fldCharType="separate"/>
    </w:r>
    <w:r>
      <w:rPr/>
      <w:t>13</w:t>
    </w:r>
    <w:r>
      <w:rPr/>
      <w:fldChar w:fldCharType="end"/>
    </w:r>
    <w:r>
      <w:rPr/>
      <w:t>-</w:t>
    </w:r>
    <w:r>
      <w:rPr/>
      <w:fldChar w:fldCharType="begin"/>
    </w:r>
    <w:r>
      <w:rPr/>
      <w:instrText xml:space="preserve"> PAGE </w:instrText>
    </w:r>
    <w:r>
      <w:rPr/>
      <w:fldChar w:fldCharType="separate"/>
    </w:r>
    <w:r>
      <w:rPr/>
      <w:t>12</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Fonts w:cs="Arial"/>
          <w:bCs/>
          <w:szCs w:val="24"/>
        </w:rPr>
        <w:t>?</w:t>
      </w:r>
      <w:r>
        <w:rPr>
          <w:b/>
          <w:position w:val="6"/>
        </w:rPr>
        <w:t>]</w:t>
      </w:r>
      <w:r>
        <w:rPr/>
        <w:tab/>
        <w:t>These are system average values at transmission voltage.</w:t>
      </w:r>
    </w:p>
  </w:footnote>
  <w:footnote w:id="3">
    <w:p>
      <w:pPr>
        <w:pStyle w:val="FootnoteText"/>
        <w:keepLines/>
        <w:spacing w:lineRule="exact" w:line="240" w:before="60" w:after="60"/>
        <w:ind w:hanging="720" w:start="720" w:end="0"/>
        <w:rPr/>
      </w:pPr>
      <w:r>
        <w:rPr>
          <w:rStyle w:val="FootnoteCharacters"/>
        </w:rPr>
        <w:footnoteRef/>
      </w:r>
      <w:r>
        <w:rPr>
          <w:rFonts w:cs="Arial"/>
          <w:b/>
          <w:bCs/>
          <w:position w:val="6"/>
        </w:rPr>
        <w:t>[</w:t>
      </w:r>
      <w:r>
        <w:rPr>
          <w:rStyle w:val="FootnoteCharacters"/>
          <w:bCs/>
        </w:rPr>
        <w:t>?</w:t>
      </w:r>
      <w:r>
        <w:rPr>
          <w:b/>
          <w:bCs/>
          <w:position w:val="6"/>
        </w:rPr>
        <w:t>]</w:t>
      </w:r>
      <w:r>
        <w:rPr/>
        <w:t xml:space="preserve"> </w:t>
        <w:tab/>
        <w:t>In its September 7, 2000, decision implementing the AB 265 rate stabilization plan for SDG&amp;E, the Commission broadened its existing wholesale electric market Order Instituting Investigation to include the issues covered by AJR 77.  See Decision 00</w:t>
        <w:noBreakHyphen/>
        <w:t>09</w:t>
        <w:noBreakHyphen/>
        <w:t>040, pages 9, 13</w:t>
        <w:noBreakHyphen/>
        <w:t>14.  The Commission has taken no other action in that proceeding to implement AJR 77.</w:t>
      </w:r>
    </w:p>
  </w:footnote>
  <w:footnote w:id="4">
    <w:p>
      <w:pPr>
        <w:pStyle w:val="FootnoteText"/>
        <w:keepLines/>
        <w:spacing w:lineRule="exact" w:line="240" w:before="60" w:after="60"/>
        <w:ind w:hanging="720" w:start="720" w:end="0"/>
        <w:rPr/>
      </w:pPr>
      <w:r>
        <w:rPr>
          <w:rStyle w:val="FootnoteCharacters"/>
        </w:rPr>
        <w:footnoteRef/>
      </w:r>
      <w:r>
        <w:rPr>
          <w:rFonts w:cs="Arial"/>
          <w:b/>
          <w:bCs/>
          <w:position w:val="6"/>
        </w:rPr>
        <w:t>[</w:t>
      </w:r>
      <w:r>
        <w:rPr>
          <w:rStyle w:val="FootnoteCharacters"/>
          <w:bCs/>
        </w:rPr>
        <w:t>?</w:t>
      </w:r>
      <w:r>
        <w:rPr>
          <w:b/>
          <w:bCs/>
          <w:position w:val="6"/>
        </w:rPr>
        <w:t>]</w:t>
      </w:r>
      <w:r>
        <w:rPr/>
        <w:t xml:space="preserve"> </w:t>
        <w:tab/>
        <w:t>See Appendix 7A, Table 1, which summarizes average rate changes by class assuming the annual average PX price for the 12 months ended September 30, 2000.</w:t>
      </w:r>
    </w:p>
  </w:footnote>
  <w:footnote w:id="5">
    <w:p>
      <w:pPr>
        <w:pStyle w:val="FootnoteText"/>
        <w:keepLines/>
        <w:spacing w:lineRule="exact" w:line="240" w:before="60" w:after="60"/>
        <w:ind w:hanging="720" w:start="720" w:end="0"/>
        <w:rPr/>
      </w:pPr>
      <w:r>
        <w:rPr>
          <w:rStyle w:val="FootnoteCharacters"/>
        </w:rPr>
        <w:footnoteRef/>
      </w:r>
      <w:r>
        <w:rPr>
          <w:rFonts w:cs="Arial"/>
          <w:b/>
          <w:bCs/>
          <w:position w:val="6"/>
        </w:rPr>
        <w:t>[</w:t>
      </w:r>
      <w:r>
        <w:rPr>
          <w:rStyle w:val="FootnoteCharacters"/>
          <w:bCs/>
        </w:rPr>
        <w:t>?</w:t>
      </w:r>
      <w:r>
        <w:rPr>
          <w:b/>
          <w:bCs/>
          <w:position w:val="6"/>
        </w:rPr>
        <w:t>]</w:t>
      </w:r>
      <w:r>
        <w:rPr/>
        <w:tab/>
        <w:t>Note that the proposed increases reflect, in addition to the 6.5 cents per kWh wholesale cost component, the amortization of the UCSA and a rate component to recover ongoing transition costs.</w:t>
      </w:r>
    </w:p>
  </w:footnote>
  <w:footnote w:id="6">
    <w:p>
      <w:pPr>
        <w:pStyle w:val="FootnoteText"/>
        <w:keepLines/>
        <w:spacing w:lineRule="exact" w:line="240" w:before="60" w:after="60"/>
        <w:ind w:hanging="720" w:start="720" w:end="0"/>
        <w:rPr/>
      </w:pPr>
      <w:r>
        <w:rPr>
          <w:rStyle w:val="FootnoteCharacters"/>
        </w:rPr>
        <w:footnoteRef/>
      </w:r>
      <w:r>
        <w:rPr>
          <w:rFonts w:cs="Arial"/>
          <w:b/>
          <w:bCs/>
          <w:position w:val="6"/>
        </w:rPr>
        <w:t>[</w:t>
      </w:r>
      <w:r>
        <w:rPr>
          <w:rStyle w:val="FootnoteCharacters"/>
          <w:bCs/>
        </w:rPr>
        <w:t>?</w:t>
      </w:r>
      <w:r>
        <w:rPr>
          <w:b/>
          <w:bCs/>
          <w:position w:val="6"/>
        </w:rPr>
        <w:t>]</w:t>
      </w:r>
      <w:r>
        <w:rPr/>
        <w:tab/>
        <w:t>PG&amp;E’s rates have been declining or frozen since 1993.  Had prices increased at the rate of the Consumer Price Index from 1993 through 2001, the system average rate would have been over 12.5 cents per kWh in 2001.</w:t>
      </w:r>
    </w:p>
  </w:footnote>
  <w:footnote w:id="7">
    <w:p>
      <w:pPr>
        <w:pStyle w:val="FootnoteText"/>
        <w:keepLines/>
        <w:spacing w:lineRule="exact" w:line="240" w:before="60" w:after="60"/>
        <w:ind w:hanging="720" w:start="720" w:end="0"/>
        <w:rPr/>
      </w:pPr>
      <w:r>
        <w:rPr>
          <w:rStyle w:val="FootnoteCharacters"/>
        </w:rPr>
        <w:footnoteRef/>
      </w:r>
      <w:r>
        <w:rPr>
          <w:rFonts w:cs="Arial"/>
          <w:b/>
          <w:bCs/>
          <w:position w:val="6"/>
        </w:rPr>
        <w:t>[</w:t>
      </w:r>
      <w:r>
        <w:rPr>
          <w:rStyle w:val="FootnoteCharacters"/>
          <w:bCs/>
        </w:rPr>
        <w:t>?</w:t>
      </w:r>
      <w:r>
        <w:rPr>
          <w:b/>
          <w:bCs/>
          <w:position w:val="6"/>
        </w:rPr>
        <w:t>]</w:t>
      </w:r>
      <w:r>
        <w:rPr/>
        <w:t xml:space="preserve"> </w:t>
      </w:r>
      <w:r>
        <w:rPr>
          <w:vertAlign w:val="superscript"/>
        </w:rPr>
        <w:tab/>
      </w:r>
      <w:r>
        <w:rPr/>
        <w:t>This lowered cost to serve transmission level customers is above and apart from savings in costs to distribute energy to these customers.</w:t>
      </w:r>
    </w:p>
  </w:footnote>
  <w:footnote w:id="8">
    <w:p>
      <w:pPr>
        <w:pStyle w:val="FootnoteText"/>
        <w:keepLines/>
        <w:spacing w:lineRule="exact" w:line="240" w:before="60" w:after="60"/>
        <w:ind w:hanging="720" w:start="720" w:end="0"/>
        <w:rPr/>
      </w:pPr>
      <w:r>
        <w:rPr>
          <w:rStyle w:val="FootnoteCharacters"/>
        </w:rPr>
        <w:footnoteRef/>
      </w:r>
      <w:r>
        <w:rPr>
          <w:rFonts w:cs="Arial"/>
          <w:b/>
          <w:bCs/>
          <w:position w:val="6"/>
        </w:rPr>
        <w:t>[</w:t>
      </w:r>
      <w:r>
        <w:rPr>
          <w:rStyle w:val="FootnoteCharacters"/>
          <w:bCs/>
        </w:rPr>
        <w:t>?</w:t>
      </w:r>
      <w:r>
        <w:rPr>
          <w:b/>
          <w:bCs/>
          <w:position w:val="6"/>
        </w:rPr>
        <w:t>]</w:t>
        <w:tab/>
      </w:r>
      <w:r>
        <w:rPr/>
        <w:t>The thresholds for interim rate changes are described in Chapter 3.</w:t>
      </w:r>
    </w:p>
  </w:footnote>
  <w:footnote w:id="9">
    <w:p>
      <w:pPr>
        <w:pStyle w:val="FootnoteText"/>
        <w:keepLines/>
        <w:spacing w:lineRule="exact" w:line="240" w:before="60" w:after="60"/>
        <w:ind w:hanging="720" w:start="720" w:end="0"/>
        <w:rPr/>
      </w:pPr>
      <w:r>
        <w:rPr>
          <w:rStyle w:val="FootnoteCharacters"/>
        </w:rPr>
        <w:footnoteRef/>
      </w:r>
      <w:r>
        <w:rPr>
          <w:rFonts w:cs="Arial"/>
          <w:b/>
          <w:bCs/>
          <w:position w:val="6"/>
        </w:rPr>
        <w:t>[</w:t>
      </w:r>
      <w:r>
        <w:rPr>
          <w:rStyle w:val="FootnoteCharacters"/>
          <w:bCs/>
        </w:rPr>
        <w:t>?</w:t>
      </w:r>
      <w:r>
        <w:rPr>
          <w:b/>
          <w:bCs/>
          <w:position w:val="6"/>
        </w:rPr>
        <w:t>]</w:t>
      </w:r>
      <w:r>
        <w:rPr/>
        <w:tab/>
        <w:t>See, for example, page 2 of RESPONSE OF THE CALIFORNIA MANUFACTURERS &amp; TECHNOLOGY ASSOCIATION TO UCAN’S EMERGENCY PETITION TO MODIFY DECISION 99-05-051, dated July 13, 2000, which states:  “CMTA does not object to the UCAN request that the Commission impose a summer rate freeze for residential, small commercial and lighting customers subject to a balancing account as long as both the costs and benefits of such a program are strictly confined to residential, small commercial.  As large customers, CMTA members do not have an interest in such a program and, therefore, should not have to bear any costs associated with it.”</w:t>
      </w:r>
    </w:p>
  </w:footnote>
  <w:footnote w:id="10">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Fonts w:cs="Arial"/>
          <w:bCs/>
          <w:szCs w:val="24"/>
        </w:rPr>
        <w:t>?</w:t>
      </w:r>
      <w:r>
        <w:rPr>
          <w:b/>
          <w:position w:val="6"/>
        </w:rPr>
        <w:t>]</w:t>
      </w:r>
      <w:r>
        <w:rPr/>
        <w:tab/>
        <w:t>The current definition of departing load, from PG&amp;E’s Electric Preliminary Statement, BB.3.c., is as follows:  Departing Load is that portion of a PG&amp;E electric customer’s load for which the customer, on or after December 20, 1995, outside of changes otherwise occurring in the ordinary course of its business (subject to the use of verifiable current metering information, as provided for under Paragraph 5(E) of this section):  (1) discontinues or reduces its purchases of electricity supply and delivery services from PG&amp;E; (2) purchases or consumes electricity supplied and delivered by sources other than PG&amp;E to replace such PG&amp;E purchases; and (3) remains physically located at the same location or within PG&amp;E’s service area as it existed on December 20, 1995.  Reductions in load are classified as Departing Load only to the extent that such load is subsequently served with electricity from a source other than PG&amp;E.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rPr>
        <w:bCs/>
      </w:rPr>
    </w:pPr>
    <w:r>
      <w:rPr>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t>00/00/99</w:t>
    </w:r>
  </w:p>
  <w:p>
    <w:pPr>
      <w:pStyle w:val="TOCTitle"/>
      <w:spacing w:lineRule="atLeast" w:line="240" w:before="240" w:after="240"/>
      <w:ind w:hanging="0" w:start="0" w:end="0"/>
      <w:jc w:val="center"/>
      <w:rPr/>
    </w:pPr>
    <w:r>
      <w:rPr/>
      <w:t>PACIFIC GAS AND ELECTRIC COMPANY</w:t>
      <w:br/>
      <w:t xml:space="preserve">CHAPTER </w:t>
    </w:r>
    <w:r>
      <w:rPr/>
      <w:fldChar w:fldCharType="begin"/>
    </w:r>
    <w:r>
      <w:rPr/>
      <w:instrText xml:space="preserve"> SEQ chap \* ARABIC </w:instrText>
    </w:r>
    <w:r>
      <w:rPr/>
      <w:fldChar w:fldCharType="separate"/>
    </w:r>
    <w:r>
      <w:rPr/>
    </w:r>
    <w:r>
      <w:rPr/>
      <w:fldChar w:fldCharType="end"/>
    </w:r>
    <w:r>
      <w:rPr/>
      <w:br/>
      <w:t>CHAPTER TITLE</w:t>
      <w:br/>
      <w:br/>
      <w:t>TABLE OF CONTENTS</w:t>
      <w:br/>
      <w:br/>
      <w:t>(Continued)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rPr>
        <w:bCs/>
      </w:rPr>
    </w:pPr>
    <w:r>
      <w:rPr>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864"/>
        </w:tabs>
        <w:ind w:start="864" w:hanging="432"/>
      </w:pPr>
    </w:lvl>
    <w:lvl w:ilvl="2">
      <w:start w:val="1"/>
      <w:pStyle w:val="Heading3"/>
      <w:numFmt w:val="lowerLetter"/>
      <w:lvlText w:val="%3."/>
      <w:lvlJc w:val="start"/>
      <w:pPr>
        <w:tabs>
          <w:tab w:val="num" w:pos="1296"/>
        </w:tabs>
        <w:ind w:start="1296" w:hanging="432"/>
      </w:pPr>
    </w:lvl>
    <w:lvl w:ilvl="3">
      <w:start w:val="1"/>
      <w:pStyle w:val="Heading4"/>
      <w:numFmt w:val="decimal"/>
      <w:lvlText w:val="(%4)"/>
      <w:lvlJc w:val="start"/>
      <w:pPr>
        <w:tabs>
          <w:tab w:val="num" w:pos="1728"/>
        </w:tabs>
        <w:ind w:start="1728" w:hanging="432"/>
      </w:pPr>
    </w:lvl>
    <w:lvl w:ilvl="4">
      <w:start w:val="1"/>
      <w:pStyle w:val="Heading5"/>
      <w:numFmt w:val="lowerLetter"/>
      <w:lvlText w:val="(%5)"/>
      <w:lvlJc w:val="start"/>
      <w:pPr>
        <w:tabs>
          <w:tab w:val="num" w:pos="2160"/>
        </w:tabs>
        <w:ind w:start="2160" w:hanging="432"/>
      </w:pPr>
    </w:lvl>
    <w:lvl w:ilvl="5">
      <w:start w:val="1"/>
      <w:pStyle w:val="Heading6"/>
      <w:numFmt w:val="upperRoman"/>
      <w:lvlText w:val="(%6)"/>
      <w:lvlJc w:val="start"/>
      <w:pPr>
        <w:tabs>
          <w:tab w:val="num" w:pos="2880"/>
        </w:tabs>
        <w:ind w:start="2880" w:hanging="720"/>
      </w:pPr>
    </w:lvl>
    <w:lvl w:ilvl="6">
      <w:start w:val="1"/>
      <w:pStyle w:val="Heading7"/>
      <w:numFmt w:val="upperLetter"/>
      <w:lvlText w:val="(%7)"/>
      <w:lvlJc w:val="start"/>
      <w:pPr>
        <w:tabs>
          <w:tab w:val="num" w:pos="3600"/>
        </w:tabs>
        <w:ind w:start="3600" w:hanging="720"/>
      </w:pPr>
    </w:lvl>
    <w:lvl w:ilvl="7">
      <w:start w:val="1"/>
      <w:pStyle w:val="Heading8"/>
      <w:numFmt w:val="lowerRoman"/>
      <w:lvlText w:val="(%8)"/>
      <w:lvlJc w:val="start"/>
      <w:pPr>
        <w:tabs>
          <w:tab w:val="num" w:pos="4320"/>
        </w:tabs>
        <w:ind w:start="4320" w:hanging="720"/>
      </w:pPr>
    </w:lvl>
    <w:lvl w:ilvl="8">
      <w:start w:val="1"/>
      <w:pStyle w:val="Heading9"/>
      <w:numFmt w:val="lowerLetter"/>
      <w:lvlText w:val="(%9)"/>
      <w:lvlJc w:val="start"/>
      <w:pPr>
        <w:tabs>
          <w:tab w:val="num" w:pos="5040"/>
        </w:tabs>
        <w:ind w:start="5040" w:hanging="720"/>
      </w:pPr>
    </w:lvl>
  </w:abstractNum>
  <w:abstractNum w:abstractNumId="2">
    <w:lvl w:ilvl="0">
      <w:start w:val="1"/>
      <w:numFmt w:val="none"/>
      <w:suff w:val="nothing"/>
      <w:lvlText w:val=""/>
      <w:lvlJc w:val="start"/>
      <w:pPr>
        <w:tabs>
          <w:tab w:val="num" w:pos="432"/>
        </w:tabs>
        <w:ind w:start="2160" w:hanging="432"/>
      </w:pPr>
      <w:rPr>
        <w:sz w:val="20"/>
        <w:rFonts w:ascii="Symbol" w:hAnsi="Symbol" w:cs="Symbol"/>
        <w:color w:val="000000"/>
      </w:rPr>
    </w:lvl>
  </w:abstractNum>
  <w:abstractNum w:abstractNumId="3">
    <w:lvl w:ilvl="0">
      <w:start w:val="1"/>
      <w:numFmt w:val="none"/>
      <w:suff w:val="nothing"/>
      <w:lvlText w:val=""/>
      <w:lvlJc w:val="start"/>
      <w:pPr>
        <w:tabs>
          <w:tab w:val="num" w:pos="432"/>
        </w:tabs>
        <w:ind w:start="864" w:hanging="432"/>
      </w:pPr>
      <w:rPr>
        <w:sz w:val="20"/>
        <w:rFonts w:ascii="Symbol" w:hAnsi="Symbol" w:cs="Symbol"/>
        <w:color w:val="000000"/>
      </w:rPr>
    </w:lvl>
  </w:abstractNum>
  <w:abstractNum w:abstractNumId="4">
    <w:lvl w:ilvl="0">
      <w:start w:val="1"/>
      <w:numFmt w:val="none"/>
      <w:suff w:val="nothing"/>
      <w:lvlText w:val=""/>
      <w:lvlJc w:val="start"/>
      <w:pPr>
        <w:tabs>
          <w:tab w:val="num" w:pos="432"/>
        </w:tabs>
        <w:ind w:start="1728" w:hanging="432"/>
      </w:pPr>
      <w:rPr>
        <w:sz w:val="20"/>
        <w:rFonts w:ascii="Symbol" w:hAnsi="Symbol" w:cs="Symbol"/>
        <w:color w:val="000000"/>
      </w:rPr>
    </w:lvl>
  </w:abstractNum>
  <w:abstractNum w:abstractNumId="5">
    <w:lvl w:ilvl="0">
      <w:start w:val="1"/>
      <w:numFmt w:val="none"/>
      <w:suff w:val="nothing"/>
      <w:lvlText w:val=""/>
      <w:lvlJc w:val="start"/>
      <w:pPr>
        <w:tabs>
          <w:tab w:val="num" w:pos="432"/>
        </w:tabs>
        <w:ind w:start="1296" w:hanging="432"/>
      </w:pPr>
      <w:rPr>
        <w:sz w:val="20"/>
        <w:rFonts w:ascii="Symbol" w:hAnsi="Symbol" w:cs="Symbol"/>
        <w:color w:val="000000"/>
      </w:rPr>
    </w:lvl>
  </w:abstractNum>
  <w:abstractNum w:abstractNumId="6">
    <w:lvl w:ilvl="0">
      <w:numFmt w:val="bullet"/>
      <w:lvlText w:val=""/>
      <w:lvlJc w:val="start"/>
      <w:pPr>
        <w:tabs>
          <w:tab w:val="num" w:pos="432"/>
        </w:tabs>
        <w:ind w:start="864" w:hanging="432"/>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Times New Roman" w:cs="Arial"/>
      <w:color w:val="000000"/>
      <w:sz w:val="24"/>
      <w:szCs w:val="20"/>
      <w:lang w:val="en-US" w:bidi="ar-SA" w:eastAsia="zh-CN"/>
    </w:rPr>
  </w:style>
  <w:style w:type="paragraph" w:styleId="Heading1">
    <w:name w:val="heading 1"/>
    <w:basedOn w:val="Normal"/>
    <w:next w:val="Body1"/>
    <w:qFormat/>
    <w:pPr>
      <w:keepNext w:val="true"/>
      <w:numPr>
        <w:ilvl w:val="0"/>
        <w:numId w:val="1"/>
      </w:numPr>
      <w:spacing w:before="120" w:after="0"/>
      <w:outlineLvl w:val="0"/>
    </w:pPr>
    <w:rPr>
      <w:b/>
      <w:sz w:val="28"/>
    </w:rPr>
  </w:style>
  <w:style w:type="paragraph" w:styleId="Heading2">
    <w:name w:val="heading 2"/>
    <w:basedOn w:val="Normal"/>
    <w:next w:val="Body2"/>
    <w:qFormat/>
    <w:pPr>
      <w:keepNext w:val="true"/>
      <w:numPr>
        <w:ilvl w:val="1"/>
        <w:numId w:val="1"/>
      </w:numPr>
      <w:spacing w:before="120" w:after="0"/>
      <w:outlineLvl w:val="1"/>
    </w:pPr>
    <w:rPr>
      <w:b/>
      <w:sz w:val="26"/>
    </w:rPr>
  </w:style>
  <w:style w:type="paragraph" w:styleId="Heading3">
    <w:name w:val="heading 3"/>
    <w:basedOn w:val="Heading2"/>
    <w:next w:val="Body3"/>
    <w:qFormat/>
    <w:pPr>
      <w:numPr>
        <w:ilvl w:val="2"/>
        <w:numId w:val="1"/>
      </w:numPr>
      <w:spacing w:before="60" w:after="0"/>
      <w:outlineLvl w:val="2"/>
    </w:pPr>
    <w:rPr>
      <w:sz w:val="23"/>
    </w:rPr>
  </w:style>
  <w:style w:type="paragraph" w:styleId="Heading4">
    <w:name w:val="heading 4"/>
    <w:basedOn w:val="Heading3"/>
    <w:next w:val="Body4"/>
    <w:qFormat/>
    <w:pPr>
      <w:numPr>
        <w:ilvl w:val="3"/>
        <w:numId w:val="1"/>
      </w:numPr>
      <w:outlineLvl w:val="3"/>
    </w:pPr>
    <w:rPr/>
  </w:style>
  <w:style w:type="paragraph" w:styleId="Heading5">
    <w:name w:val="heading 5"/>
    <w:basedOn w:val="Heading4"/>
    <w:next w:val="Body5"/>
    <w:qFormat/>
    <w:pPr>
      <w:numPr>
        <w:ilvl w:val="4"/>
        <w:numId w:val="1"/>
      </w:numPr>
      <w:outlineLvl w:val="4"/>
    </w:pPr>
    <w:rPr/>
  </w:style>
  <w:style w:type="paragraph" w:styleId="Heading6">
    <w:name w:val="heading 6"/>
    <w:basedOn w:val="Heading5"/>
    <w:next w:val="Body6"/>
    <w:qFormat/>
    <w:pPr>
      <w:numPr>
        <w:ilvl w:val="5"/>
        <w:numId w:val="1"/>
      </w:numPr>
      <w:tabs>
        <w:tab w:val="clear" w:pos="720"/>
      </w:tabs>
      <w:ind w:hanging="432" w:start="2592" w:end="0"/>
      <w:outlineLvl w:val="5"/>
    </w:pPr>
    <w:rPr/>
  </w:style>
  <w:style w:type="paragraph" w:styleId="Heading7">
    <w:name w:val="heading 7"/>
    <w:basedOn w:val="Heading6"/>
    <w:next w:val="Body7"/>
    <w:qFormat/>
    <w:pPr>
      <w:numPr>
        <w:ilvl w:val="6"/>
        <w:numId w:val="1"/>
      </w:numPr>
      <w:tabs>
        <w:tab w:val="left" w:pos="3060" w:leader="none"/>
      </w:tabs>
      <w:ind w:hanging="432" w:start="3024" w:end="0"/>
      <w:outlineLvl w:val="6"/>
    </w:pPr>
    <w:rPr/>
  </w:style>
  <w:style w:type="paragraph" w:styleId="Heading8">
    <w:name w:val="heading 8"/>
    <w:basedOn w:val="Heading7"/>
    <w:next w:val="Body8"/>
    <w:qFormat/>
    <w:pPr>
      <w:numPr>
        <w:ilvl w:val="7"/>
        <w:numId w:val="1"/>
      </w:numPr>
      <w:tabs>
        <w:tab w:val="left" w:pos="3060" w:leader="none"/>
        <w:tab w:val="left" w:pos="3510" w:leader="none"/>
      </w:tabs>
      <w:ind w:hanging="432" w:start="3456" w:end="0"/>
      <w:outlineLvl w:val="7"/>
    </w:pPr>
    <w:rPr>
      <w:i/>
    </w:rPr>
  </w:style>
  <w:style w:type="paragraph" w:styleId="Heading9">
    <w:name w:val="heading 9"/>
    <w:basedOn w:val="Heading8"/>
    <w:next w:val="Body9"/>
    <w:qFormat/>
    <w:pPr>
      <w:numPr>
        <w:ilvl w:val="8"/>
        <w:numId w:val="1"/>
      </w:numPr>
      <w:tabs>
        <w:tab w:val="left" w:pos="3060" w:leader="none"/>
        <w:tab w:val="left" w:pos="3510" w:leader="none"/>
        <w:tab w:val="left" w:pos="3960" w:leader="none"/>
      </w:tabs>
      <w:ind w:hanging="432" w:start="3888"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color w:val="000000"/>
      <w:sz w:val="20"/>
    </w:rPr>
  </w:style>
  <w:style w:type="character" w:styleId="WW8Num15z0">
    <w:name w:val="WW8Num15z0"/>
    <w:qFormat/>
    <w:rPr>
      <w:rFonts w:ascii="Symbol" w:hAnsi="Symbol" w:cs="Symbol"/>
      <w:color w:val="000000"/>
      <w:sz w:val="20"/>
    </w:rPr>
  </w:style>
  <w:style w:type="character" w:styleId="WW8Num16z0">
    <w:name w:val="WW8Num16z0"/>
    <w:qFormat/>
    <w:rPr>
      <w:rFonts w:ascii="Symbol" w:hAnsi="Symbol" w:cs="Symbol"/>
    </w:rPr>
  </w:style>
  <w:style w:type="character" w:styleId="WW8Num17z0">
    <w:name w:val="WW8Num17z0"/>
    <w:qFormat/>
    <w:rPr>
      <w:rFonts w:ascii="Symbol" w:hAnsi="Symbol" w:cs="Symbol"/>
      <w:color w:val="000000"/>
      <w:sz w:val="20"/>
    </w:rPr>
  </w:style>
  <w:style w:type="character" w:styleId="WW8Num18z0">
    <w:name w:val="WW8Num18z0"/>
    <w:qFormat/>
    <w:rPr>
      <w:rFonts w:ascii="Symbol" w:hAnsi="Symbol" w:cs="Symbol"/>
      <w:color w:val="000000"/>
      <w:sz w:val="20"/>
    </w:rPr>
  </w:style>
  <w:style w:type="character" w:styleId="WW8Num19z0">
    <w:name w:val="WW8Num19z0"/>
    <w:qFormat/>
    <w:rPr>
      <w:rFonts w:ascii="Symbol" w:hAnsi="Symbol" w:cs="Symbol"/>
      <w:color w:val="000000"/>
      <w:sz w:val="20"/>
    </w:rPr>
  </w:style>
  <w:style w:type="character" w:styleId="WW8Num20z0">
    <w:name w:val="WW8Num20z0"/>
    <w:qFormat/>
    <w:rPr>
      <w:rFonts w:ascii="Symbol" w:hAnsi="Symbol" w:cs="Symbol"/>
      <w:color w:val="000000"/>
      <w:sz w:val="20"/>
    </w:rPr>
  </w:style>
  <w:style w:type="character" w:styleId="WW8Num21z0">
    <w:name w:val="WW8Num21z0"/>
    <w:qFormat/>
    <w:rPr>
      <w:rFonts w:ascii="Symbol" w:hAnsi="Symbol" w:cs="Symbol"/>
      <w:color w:val="000000"/>
      <w:sz w:val="20"/>
    </w:rPr>
  </w:style>
  <w:style w:type="character" w:styleId="WW8Num22z0">
    <w:name w:val="WW8Num22z0"/>
    <w:qFormat/>
    <w:rPr>
      <w:rFonts w:ascii="Symbol" w:hAnsi="Symbol" w:cs="Symbol"/>
      <w:color w:val="000000"/>
      <w:sz w:val="20"/>
    </w:rPr>
  </w:style>
  <w:style w:type="character" w:styleId="WW8Num23z0">
    <w:name w:val="WW8Num23z0"/>
    <w:qFormat/>
    <w:rPr>
      <w:rFonts w:ascii="Symbol" w:hAnsi="Symbol" w:cs="Symbol"/>
      <w:color w:val="000000"/>
      <w:sz w:val="20"/>
    </w:rPr>
  </w:style>
  <w:style w:type="character" w:styleId="WW8Num24z0">
    <w:name w:val="WW8Num24z0"/>
    <w:qFormat/>
    <w:rPr>
      <w:rFonts w:ascii="Symbol" w:hAnsi="Symbol" w:cs="Symbol"/>
      <w:color w:val="000000"/>
      <w:sz w:val="20"/>
    </w:rPr>
  </w:style>
  <w:style w:type="character" w:styleId="WW8Num25z0">
    <w:name w:val="WW8Num25z0"/>
    <w:qFormat/>
    <w:rPr>
      <w:rFonts w:ascii="Symbol" w:hAnsi="Symbol" w:cs="Symbol"/>
      <w:color w:val="000000"/>
      <w:sz w:val="20"/>
    </w:rPr>
  </w:style>
  <w:style w:type="character" w:styleId="WW8Num27z0">
    <w:name w:val="WW8Num27z0"/>
    <w:qFormat/>
    <w:rPr>
      <w:rFonts w:ascii="Symbol" w:hAnsi="Symbol" w:cs="Symbol"/>
      <w:color w:val="000000"/>
      <w:sz w:val="20"/>
    </w:rPr>
  </w:style>
  <w:style w:type="character" w:styleId="WW8Num28z0">
    <w:name w:val="WW8Num28z0"/>
    <w:qFormat/>
    <w:rPr>
      <w:rFonts w:ascii="Symbol" w:hAnsi="Symbol" w:cs="Symbol"/>
      <w:color w:val="000000"/>
      <w:sz w:val="20"/>
    </w:rPr>
  </w:style>
  <w:style w:type="character" w:styleId="WW8Num29z0">
    <w:name w:val="WW8Num29z0"/>
    <w:qFormat/>
    <w:rPr>
      <w:rFonts w:ascii="Symbol" w:hAnsi="Symbol" w:cs="Symbol"/>
      <w:color w:val="000000"/>
      <w:sz w:val="20"/>
    </w:rPr>
  </w:style>
  <w:style w:type="character" w:styleId="WW8Num30z0">
    <w:name w:val="WW8Num30z0"/>
    <w:qFormat/>
    <w:rPr>
      <w:rFonts w:ascii="Symbol" w:hAnsi="Symbol" w:cs="Symbol"/>
      <w:color w:val="000000"/>
      <w:sz w:val="20"/>
    </w:rPr>
  </w:style>
  <w:style w:type="character" w:styleId="WW8Num31z0">
    <w:name w:val="WW8Num31z0"/>
    <w:qFormat/>
    <w:rPr>
      <w:rFonts w:ascii="Symbol" w:hAnsi="Symbol" w:cs="Symbol"/>
      <w:color w:val="000000"/>
      <w:sz w:val="20"/>
    </w:rPr>
  </w:style>
  <w:style w:type="character" w:styleId="WW8Num32z0">
    <w:name w:val="WW8Num32z0"/>
    <w:qFormat/>
    <w:rPr>
      <w:rFonts w:ascii="Symbol" w:hAnsi="Symbol" w:cs="Symbol"/>
      <w:color w:val="000000"/>
      <w:sz w:val="20"/>
    </w:rPr>
  </w:style>
  <w:style w:type="character" w:styleId="WW8Num33z0">
    <w:name w:val="WW8Num33z0"/>
    <w:qFormat/>
    <w:rPr>
      <w:rFonts w:ascii="Symbol" w:hAnsi="Symbol" w:cs="Symbol"/>
      <w:color w:val="000000"/>
      <w:sz w:val="20"/>
    </w:rPr>
  </w:style>
  <w:style w:type="character" w:styleId="WW8Num34z0">
    <w:name w:val="WW8Num34z0"/>
    <w:qFormat/>
    <w:rPr>
      <w:rFonts w:ascii="Symbol" w:hAnsi="Symbol" w:cs="Symbol"/>
      <w:color w:val="000000"/>
      <w:sz w:val="20"/>
    </w:rPr>
  </w:style>
  <w:style w:type="character" w:styleId="WW8Num35z0">
    <w:name w:val="WW8Num35z0"/>
    <w:qFormat/>
    <w:rPr>
      <w:rFonts w:ascii="Symbol" w:hAnsi="Symbol" w:cs="Symbol"/>
      <w:color w:val="000000"/>
      <w:sz w:val="20"/>
    </w:rPr>
  </w:style>
  <w:style w:type="character" w:styleId="WW8Num36z0">
    <w:name w:val="WW8Num36z0"/>
    <w:qFormat/>
    <w:rPr>
      <w:rFonts w:ascii="Courier New" w:hAnsi="Courier New" w:cs="Courier New"/>
      <w:sz w:val="20"/>
    </w:rPr>
  </w:style>
  <w:style w:type="character" w:styleId="WW8Num37z0">
    <w:name w:val="WW8Num37z0"/>
    <w:qFormat/>
    <w:rPr>
      <w:rFonts w:ascii="Symbol" w:hAnsi="Symbol" w:cs="Symbol"/>
      <w:color w:val="000000"/>
      <w:sz w:val="20"/>
    </w:rPr>
  </w:style>
  <w:style w:type="character" w:styleId="WW8Num38z0">
    <w:name w:val="WW8Num38z0"/>
    <w:qFormat/>
    <w:rPr>
      <w:rFonts w:ascii="Symbol" w:hAnsi="Symbol" w:cs="Symbol"/>
      <w:color w:val="000000"/>
      <w:sz w:val="20"/>
    </w:rPr>
  </w:style>
  <w:style w:type="character" w:styleId="WW8Num39z0">
    <w:name w:val="WW8Num39z0"/>
    <w:qFormat/>
    <w:rPr>
      <w:rFonts w:ascii="Symbol" w:hAnsi="Symbol" w:cs="Symbol"/>
      <w:color w:val="000000"/>
      <w:sz w:val="20"/>
    </w:rPr>
  </w:style>
  <w:style w:type="character" w:styleId="WW8Num40z0">
    <w:name w:val="WW8Num40z0"/>
    <w:qFormat/>
    <w:rPr/>
  </w:style>
  <w:style w:type="character" w:styleId="WW8Num41z0">
    <w:name w:val="WW8Num41z0"/>
    <w:qFormat/>
    <w:rPr>
      <w:rFonts w:ascii="Symbol" w:hAnsi="Symbol" w:cs="Symbol"/>
      <w:color w:val="000000"/>
      <w:sz w:val="20"/>
    </w:rPr>
  </w:style>
  <w:style w:type="character" w:styleId="WW8NumSt2z0">
    <w:name w:val="WW8NumSt2z0"/>
    <w:qFormat/>
    <w:rPr>
      <w:rFonts w:ascii="Symbol" w:hAnsi="Symbol" w:cs="Symbol"/>
      <w:color w:val="000000"/>
      <w:sz w:val="20"/>
    </w:rPr>
  </w:style>
  <w:style w:type="character" w:styleId="WW8NumSt3z0">
    <w:name w:val="WW8NumSt3z0"/>
    <w:qFormat/>
    <w:rPr>
      <w:rFonts w:ascii="Symbol" w:hAnsi="Symbol" w:cs="Symbol"/>
      <w:color w:val="000000"/>
      <w:sz w:val="16"/>
    </w:rPr>
  </w:style>
  <w:style w:type="character" w:styleId="WW8NumSt4z0">
    <w:name w:val="WW8NumSt4z0"/>
    <w:qFormat/>
    <w:rPr>
      <w:rFonts w:ascii="Symbol" w:hAnsi="Symbol" w:cs="Symbol"/>
      <w:sz w:val="16"/>
    </w:rPr>
  </w:style>
  <w:style w:type="character" w:styleId="WW8NumSt5z0">
    <w:name w:val="WW8NumSt5z0"/>
    <w:qFormat/>
    <w:rPr>
      <w:rFonts w:ascii="Symbol" w:hAnsi="Symbol" w:cs="Symbol"/>
    </w:rPr>
  </w:style>
  <w:style w:type="character" w:styleId="WW8NumSt35z0">
    <w:name w:val="WW8NumSt35z0"/>
    <w:qFormat/>
    <w:rPr>
      <w:rFonts w:ascii="Symbol" w:hAnsi="Symbol" w:cs="Symbol"/>
      <w:color w:val="000000"/>
      <w:sz w:val="20"/>
    </w:rPr>
  </w:style>
  <w:style w:type="character" w:styleId="WW8NumSt47z0">
    <w:name w:val="WW8NumSt47z0"/>
    <w:qFormat/>
    <w:rPr>
      <w:rFonts w:ascii="Symbol" w:hAnsi="Symbol" w:cs="Symbol"/>
      <w:sz w:val="20"/>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b/>
      <w:strike w:val="false"/>
      <w:dstrike w:val="false"/>
      <w:color w:val="auto"/>
      <w:spacing w:val="0"/>
      <w:w w:val="100"/>
      <w:kern w:val="0"/>
      <w:position w:val="0"/>
      <w:sz w:val="24"/>
      <w:sz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cs="Arial"/>
      <w:strike w:val="false"/>
      <w:dstrike w:val="false"/>
      <w:color w:val="auto"/>
      <w:position w:val="0"/>
      <w:sz w:val="20"/>
      <w:sz w:val="20"/>
      <w:vertAlign w:val="baseline"/>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Body2">
    <w:name w:val="Body 2"/>
    <w:basedOn w:val="Normal"/>
    <w:qFormat/>
    <w:pPr>
      <w:ind w:firstLine="432" w:start="864" w:end="0"/>
    </w:pPr>
    <w:rPr>
      <w:color w:val="auto"/>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Body6">
    <w:name w:val="Body 6"/>
    <w:basedOn w:val="Body5"/>
    <w:qFormat/>
    <w:pPr>
      <w:ind w:firstLine="432" w:start="2592" w:end="0"/>
    </w:pPr>
    <w:rPr/>
  </w:style>
  <w:style w:type="paragraph" w:styleId="Body7">
    <w:name w:val="Body 7"/>
    <w:basedOn w:val="Body6"/>
    <w:qFormat/>
    <w:pPr>
      <w:ind w:firstLine="432" w:start="3024" w:end="0"/>
    </w:pPr>
    <w:rPr/>
  </w:style>
  <w:style w:type="paragraph" w:styleId="Body8">
    <w:name w:val="Body 8"/>
    <w:basedOn w:val="Body7"/>
    <w:qFormat/>
    <w:pPr>
      <w:ind w:firstLine="432" w:start="3456" w:end="0"/>
    </w:pPr>
    <w:rPr/>
  </w:style>
  <w:style w:type="paragraph" w:styleId="Body9">
    <w:name w:val="Body 9"/>
    <w:basedOn w:val="Body8"/>
    <w:qFormat/>
    <w:pPr>
      <w:ind w:firstLine="432" w:start="3888"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auto"/>
    </w:rPr>
  </w:style>
  <w:style w:type="paragraph" w:styleId="Bullet0">
    <w:name w:val="Bullet 0"/>
    <w:basedOn w:val="Normal"/>
    <w:qFormat/>
    <w:pPr>
      <w:numPr>
        <w:ilvl w:val="0"/>
        <w:numId w:val="3"/>
      </w:numPr>
      <w:spacing w:before="0" w:after="120"/>
      <w:ind w:firstLine="432" w:start="432" w:end="0"/>
    </w:pPr>
    <w:rPr/>
  </w:style>
  <w:style w:type="paragraph" w:styleId="Bullet1">
    <w:name w:val="Bullet 1"/>
    <w:basedOn w:val="Bullet0"/>
    <w:qFormat/>
    <w:pPr>
      <w:ind w:firstLine="432" w:start="864" w:end="0"/>
    </w:pPr>
    <w:rPr/>
  </w:style>
  <w:style w:type="paragraph" w:styleId="Bullet2">
    <w:name w:val="Bullet 2"/>
    <w:basedOn w:val="Bullet1"/>
    <w:qFormat/>
    <w:pPr>
      <w:ind w:firstLine="432" w:start="1296" w:end="0"/>
    </w:pPr>
    <w:rPr/>
  </w:style>
  <w:style w:type="paragraph" w:styleId="Bullet3">
    <w:name w:val="Bullet 3"/>
    <w:basedOn w:val="Bullet2"/>
    <w:qFormat/>
    <w:pPr>
      <w:numPr>
        <w:ilvl w:val="0"/>
        <w:numId w:val="5"/>
      </w:numPr>
      <w:ind w:firstLine="432" w:start="1728" w:end="0"/>
    </w:pPr>
    <w:rPr/>
  </w:style>
  <w:style w:type="paragraph" w:styleId="Bullet4">
    <w:name w:val="Bullet 4"/>
    <w:basedOn w:val="Bullet3"/>
    <w:qFormat/>
    <w:pPr>
      <w:numPr>
        <w:ilvl w:val="0"/>
        <w:numId w:val="4"/>
      </w:numPr>
      <w:ind w:firstLine="432" w:start="2160" w:end="0"/>
    </w:pPr>
    <w:rPr/>
  </w:style>
  <w:style w:type="paragraph" w:styleId="Bullet5">
    <w:name w:val="Bullet 5"/>
    <w:basedOn w:val="Bullet4"/>
    <w:qFormat/>
    <w:pPr>
      <w:numPr>
        <w:ilvl w:val="0"/>
        <w:numId w:val="2"/>
      </w:numPr>
      <w:ind w:firstLine="432" w:start="2592" w:end="0"/>
    </w:pPr>
    <w:rPr/>
  </w:style>
  <w:style w:type="paragraph" w:styleId="BodyTextIndent">
    <w:name w:val="Body Text Indent"/>
    <w:basedOn w:val="Normal"/>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auto"/>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auto"/>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caps/>
      <w:sz w:val="20"/>
    </w:rPr>
  </w:style>
  <w:style w:type="paragraph" w:styleId="Table">
    <w:name w:val="Table"/>
    <w:basedOn w:val="Body2"/>
    <w:qFormat/>
    <w:pPr>
      <w:keepNext w:val="true"/>
      <w:keepLines/>
      <w:spacing w:lineRule="auto" w:line="240"/>
      <w:ind w:hanging="0" w:start="0" w:end="0"/>
    </w:pPr>
    <w:rPr>
      <w:sz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Times New Roman" w:cs="Arial"/>
      <w:color w:val="auto"/>
      <w:sz w:val="20"/>
      <w:szCs w:val="20"/>
      <w:lang w:val="en-US" w:bidi="ar-SA" w:eastAsia="zh-C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auto"/>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ullet6">
    <w:name w:val="Bullet 6"/>
    <w:basedOn w:val="Bullet5"/>
    <w:qFormat/>
    <w:pPr>
      <w:ind w:firstLine="432" w:start="3024" w:end="0"/>
    </w:pPr>
    <w:rPr/>
  </w:style>
  <w:style w:type="paragraph" w:styleId="Quotation6">
    <w:name w:val="Quotation 6"/>
    <w:basedOn w:val="Quotation5"/>
    <w:qFormat/>
    <w:pPr>
      <w:ind w:hanging="0" w:start="3024" w:end="0"/>
    </w:pPr>
    <w:rPr/>
  </w:style>
  <w:style w:type="paragraph" w:styleId="Bullet7">
    <w:name w:val="Bullet 7"/>
    <w:basedOn w:val="Bullet6"/>
    <w:qFormat/>
    <w:pPr>
      <w:ind w:firstLine="432" w:start="3456" w:end="0"/>
    </w:pPr>
    <w:rPr/>
  </w:style>
  <w:style w:type="paragraph" w:styleId="Quotation7">
    <w:name w:val="Quotation 7"/>
    <w:basedOn w:val="Quotation6"/>
    <w:qFormat/>
    <w:pPr>
      <w:ind w:hanging="0" w:start="3456" w:end="0"/>
    </w:pPr>
    <w:rPr/>
  </w:style>
  <w:style w:type="paragraph" w:styleId="Bullet8">
    <w:name w:val="Bullet 8"/>
    <w:basedOn w:val="Bullet7"/>
    <w:qFormat/>
    <w:pPr>
      <w:ind w:firstLine="432" w:start="3888" w:end="0"/>
    </w:pPr>
    <w:rPr/>
  </w:style>
  <w:style w:type="paragraph" w:styleId="Quotation8">
    <w:name w:val="Quotation 8"/>
    <w:basedOn w:val="Quotation7"/>
    <w:qFormat/>
    <w:pPr>
      <w:ind w:hanging="0" w:start="3888" w:end="0"/>
    </w:pPr>
    <w:rPr/>
  </w:style>
  <w:style w:type="paragraph" w:styleId="Bullet9">
    <w:name w:val="Bullet 9"/>
    <w:basedOn w:val="Bullet8"/>
    <w:qFormat/>
    <w:pPr>
      <w:ind w:firstLine="432" w:start="4320"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bidi w:val="0"/>
      <w:spacing w:lineRule="exact" w:line="560" w:before="3000" w:after="0"/>
      <w:jc w:val="center"/>
    </w:pPr>
    <w:rPr>
      <w:rFonts w:ascii="Arial" w:hAnsi="Arial" w:eastAsia="Times New Roman" w:cs="Arial"/>
      <w:b/>
      <w:color w:val="000000"/>
      <w:spacing w:val="10"/>
      <w:sz w:val="28"/>
      <w:szCs w:val="20"/>
      <w:lang w:val="en-US" w:bidi="ar-SA" w:eastAsia="zh-CN"/>
    </w:rPr>
  </w:style>
  <w:style w:type="paragraph" w:styleId="TITLE1">
    <w:name w:val="TITLE 1"/>
    <w:basedOn w:val="Normal"/>
    <w:qFormat/>
    <w:pPr>
      <w:ind w:hanging="0" w:start="0" w:end="0"/>
      <w:jc w:val="center"/>
    </w:pPr>
    <w:rPr>
      <w:b/>
      <w:sz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ind w:hanging="0" w:start="0" w:end="0"/>
    </w:pPr>
    <w:rPr>
      <w:b w:val="false"/>
      <w:sz w:val="24"/>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auto"/>
    </w:rPr>
  </w:style>
  <w:style w:type="paragraph" w:styleId="Body0-list">
    <w:name w:val="Body 0 - list"/>
    <w:basedOn w:val="BodyTextIndent"/>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2000-11-22T18:48:00Z</dcterms:created>
  <dc:creator>DJR4</dc:creator>
  <dc:description/>
  <dc:language>en-CA</dc:language>
  <cp:lastModifiedBy>Janice Frazier-Hampton</cp:lastModifiedBy>
  <cp:lastPrinted>2000-11-22T08:44:00Z</cp:lastPrinted>
  <dcterms:modified xsi:type="dcterms:W3CDTF">2000-11-22T18:48:00Z</dcterms:modified>
  <cp:revision>2</cp:revision>
  <dc:subject/>
  <dc:title> TITLE </dc:title>
</cp:coreProperties>
</file>