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header5.xml" ContentType="application/vnd.openxmlformats-officedocument.wordprocessingml.header+xml"/>
  <Override PartName="/word/media/image1.wmf" ContentType="image/x-wmf"/>
  <Override PartName="/word/embeddings/oleObject1.xlsx" ContentType="application/vnd.openxmlformats-officedocument.spreadsheetml.sheet"/>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r>
      <w:r>
        <w:rPr>
          <w:rFonts w:cs="Arial"/>
        </w:rPr>
        <w:t>THE COMMISSION SHOULD ACT IMMEDIATELY TO IMPLEMENT THE END OF THE TRANSITION PERIOD, ADOPT PG&amp;E’S RATE STABILIZATION PLAN AND ADDRESS THE CURRENT CRISIS IN WHOLESALE AND RETAIL ELECTRICITY MARKETS</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r>
      <w:r>
        <w:rPr>
          <w:rFonts w:cs="Arial"/>
        </w:rPr>
        <w:t>THE COMMISSION SHOULD ACT IMMEDIATELY TO IMPLEMENT THE END OF THE TRANSITION PERIOD, ADOPT PG&amp;E’S RATE STABILIZATION PLAN AND ADDRESS THE CURRENT CRISIS IN WHOLESALE AND RETAIL ELECTRICITY MARKETS</w:t>
      </w:r>
      <w:r>
        <w:rPr/>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w:t>
          </w:r>
          <w:r>
            <w:rPr>
              <w:lang w:val="en-CA" w:eastAsia="en-CA"/>
            </w:rPr>
            <w:fldChar w:fldCharType="end"/>
          </w:r>
          <w:r>
            <w:rPr>
              <w:lang w:val="en-CA" w:eastAsia="en-CA"/>
            </w:rPr>
            <w:t>-</w:t>
          </w:r>
          <w:hyperlink w:anchor="__RefHeading___Toc499520065">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B.</w:t>
          </w:r>
          <w:r>
            <w:rPr>
              <w:rFonts w:cs="Times New Roman" w:ascii="Times New Roman" w:hAnsi="Times New Roman"/>
              <w:szCs w:val="24"/>
              <w:lang w:val="en-CA" w:eastAsia="en-CA"/>
            </w:rPr>
            <w:tab/>
          </w:r>
          <w:r>
            <w:rPr>
              <w:szCs w:val="28"/>
              <w:lang w:val="en-CA" w:eastAsia="en-CA"/>
            </w:rPr>
            <w:t>PG&amp;E’s Rate Stabilization Plan is Part of Its Overall Program to Stabilize and Reduce Wholesale Power Costs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3</w:t>
          </w:r>
          <w:r>
            <w:rPr>
              <w:lang w:val="en-CA" w:eastAsia="en-CA"/>
            </w:rPr>
            <w:fldChar w:fldCharType="end"/>
          </w:r>
          <w:r>
            <w:rPr>
              <w:lang w:val="en-CA" w:eastAsia="en-CA"/>
            </w:rPr>
            <w:t>-</w:t>
          </w:r>
          <w:hyperlink w:anchor="__RefHeading___Toc499520066">
            <w:r>
              <w:rPr>
                <w:rStyle w:val="IndexLink"/>
                <w:lang w:val="en-CA" w:eastAsia="en-CA"/>
              </w:rPr>
              <w:t>5</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Expedited Interconnection of New Generation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4</w:t>
          </w:r>
          <w:r>
            <w:rPr>
              <w:lang w:val="en-CA" w:eastAsia="en-CA"/>
            </w:rPr>
            <w:fldChar w:fldCharType="end"/>
          </w:r>
          <w:r>
            <w:rPr>
              <w:lang w:val="en-CA" w:eastAsia="en-CA"/>
            </w:rPr>
            <w:t>-</w:t>
          </w:r>
          <w:hyperlink w:anchor="__RefHeading___Toc499520067">
            <w:r>
              <w:rPr>
                <w:rStyle w:val="IndexLink"/>
                <w:lang w:val="en-CA" w:eastAsia="en-CA"/>
              </w:rPr>
              <w:t>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Reform of ISO and PX markets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5</w:t>
          </w:r>
          <w:r>
            <w:rPr>
              <w:lang w:val="en-CA" w:eastAsia="en-CA"/>
            </w:rPr>
            <w:fldChar w:fldCharType="end"/>
          </w:r>
          <w:r>
            <w:rPr>
              <w:lang w:val="en-CA" w:eastAsia="en-CA"/>
            </w:rPr>
            <w:t>-</w:t>
          </w:r>
          <w:hyperlink w:anchor="__RefHeading___Toc499520068">
            <w:r>
              <w:rPr>
                <w:rStyle w:val="IndexLink"/>
                <w:lang w:val="en-CA" w:eastAsia="en-CA"/>
              </w:rPr>
              <w:t>7</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New Energy Procurement And Hedging Practices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6</w:t>
          </w:r>
          <w:r>
            <w:rPr>
              <w:lang w:val="en-CA" w:eastAsia="en-CA"/>
            </w:rPr>
            <w:fldChar w:fldCharType="end"/>
          </w:r>
          <w:r>
            <w:rPr>
              <w:lang w:val="en-CA" w:eastAsia="en-CA"/>
            </w:rPr>
            <w:t>-</w:t>
          </w:r>
          <w:hyperlink w:anchor="__RefHeading___Toc499520069">
            <w:r>
              <w:rPr>
                <w:rStyle w:val="IndexLink"/>
                <w:lang w:val="en-CA" w:eastAsia="en-CA"/>
              </w:rPr>
              <w:t>8</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4.</w:t>
          </w:r>
          <w:r>
            <w:rPr>
              <w:rFonts w:cs="Times New Roman" w:ascii="Times New Roman" w:hAnsi="Times New Roman"/>
              <w:szCs w:val="24"/>
              <w:lang w:val="en-CA" w:eastAsia="en-CA"/>
            </w:rPr>
            <w:tab/>
          </w:r>
          <w:r>
            <w:rPr>
              <w:szCs w:val="26"/>
              <w:lang w:val="en-CA" w:eastAsia="en-CA"/>
            </w:rPr>
            <w:t>Enhanced Demand Responsiveness And Energy Efficiency Programs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7</w:t>
          </w:r>
          <w:r>
            <w:rPr>
              <w:lang w:val="en-CA" w:eastAsia="en-CA"/>
            </w:rPr>
            <w:fldChar w:fldCharType="end"/>
          </w:r>
          <w:r>
            <w:rPr>
              <w:lang w:val="en-CA" w:eastAsia="en-CA"/>
            </w:rPr>
            <w:t>-</w:t>
          </w:r>
          <w:hyperlink w:anchor="__RefHeading___Toc499520070">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C.</w:t>
          </w:r>
          <w:r>
            <w:rPr>
              <w:rFonts w:cs="Times New Roman" w:ascii="Times New Roman" w:hAnsi="Times New Roman"/>
              <w:szCs w:val="24"/>
              <w:lang w:val="en-CA" w:eastAsia="en-CA"/>
            </w:rPr>
            <w:tab/>
          </w:r>
          <w:r>
            <w:rPr>
              <w:szCs w:val="28"/>
              <w:lang w:val="en-CA" w:eastAsia="en-CA"/>
            </w:rPr>
            <w:t>PG&amp;E’s Transition Period Ended Prior to August 31, 2000, and Therefore PG&amp;E’s Rate Stabilization Plan Should Be Adopted Immediately</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8</w:t>
          </w:r>
          <w:r>
            <w:rPr>
              <w:lang w:val="en-CA" w:eastAsia="en-CA"/>
            </w:rPr>
            <w:fldChar w:fldCharType="end"/>
          </w:r>
          <w:r>
            <w:rPr>
              <w:lang w:val="en-CA" w:eastAsia="en-CA"/>
            </w:rPr>
            <w:t>-</w:t>
          </w:r>
          <w:hyperlink w:anchor="__RefHeading___Toc499520071">
            <w:r>
              <w:rPr>
                <w:rStyle w:val="IndexLink"/>
                <w:lang w:val="en-CA" w:eastAsia="en-CA"/>
              </w:rPr>
              <w:t>10</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D.</w:t>
          </w:r>
          <w:r>
            <w:rPr>
              <w:rFonts w:cs="Times New Roman" w:ascii="Times New Roman" w:hAnsi="Times New Roman"/>
              <w:szCs w:val="24"/>
              <w:lang w:val="en-CA" w:eastAsia="en-CA"/>
            </w:rPr>
            <w:tab/>
          </w:r>
          <w:r>
            <w:rPr>
              <w:szCs w:val="28"/>
              <w:lang w:val="en-CA" w:eastAsia="en-CA"/>
            </w:rPr>
            <w:t>PG&amp;E’s Proposed Rate Stabilization Plan Will Protect Customers Against Wholesale Electric Price Volatility While Protecting PG&amp;E’s Financial Viability</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9</w:t>
          </w:r>
          <w:r>
            <w:rPr>
              <w:lang w:val="en-CA" w:eastAsia="en-CA"/>
            </w:rPr>
            <w:fldChar w:fldCharType="end"/>
          </w:r>
          <w:r>
            <w:rPr>
              <w:lang w:val="en-CA" w:eastAsia="en-CA"/>
            </w:rPr>
            <w:t>-</w:t>
          </w:r>
          <w:hyperlink w:anchor="__RefHeading___Toc499520072">
            <w:r>
              <w:rPr>
                <w:rStyle w:val="IndexLink"/>
                <w:lang w:val="en-CA" w:eastAsia="en-CA"/>
              </w:rPr>
              <w:t>12</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E.</w:t>
          </w:r>
          <w:r>
            <w:rPr>
              <w:rFonts w:cs="Times New Roman" w:ascii="Times New Roman" w:hAnsi="Times New Roman"/>
              <w:szCs w:val="24"/>
              <w:lang w:val="en-CA" w:eastAsia="en-CA"/>
            </w:rPr>
            <w:tab/>
          </w:r>
          <w:r>
            <w:rPr>
              <w:szCs w:val="28"/>
              <w:lang w:val="en-CA" w:eastAsia="en-CA"/>
            </w:rPr>
            <w:t>The Commission Must Act Immediately to Avert Financial Crisis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10</w:t>
          </w:r>
          <w:r>
            <w:rPr>
              <w:lang w:val="en-CA" w:eastAsia="en-CA"/>
            </w:rPr>
            <w:fldChar w:fldCharType="end"/>
          </w:r>
          <w:r>
            <w:rPr>
              <w:lang w:val="en-CA" w:eastAsia="en-CA"/>
            </w:rPr>
            <w:t>-</w:t>
          </w:r>
          <w:hyperlink w:anchor="__RefHeading___Toc499520073">
            <w:r>
              <w:rPr>
                <w:rStyle w:val="IndexLink"/>
                <w:lang w:val="en-CA" w:eastAsia="en-CA"/>
              </w:rPr>
              <w:t>13</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Power Costs Are Accumulating in PG&amp;E’s TRA at an Unprecedented Rate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11</w:t>
          </w:r>
          <w:r>
            <w:rPr>
              <w:lang w:val="en-CA" w:eastAsia="en-CA"/>
            </w:rPr>
            <w:fldChar w:fldCharType="end"/>
          </w:r>
          <w:r>
            <w:rPr>
              <w:lang w:val="en-CA" w:eastAsia="en-CA"/>
            </w:rPr>
            <w:t>-</w:t>
          </w:r>
          <w:hyperlink w:anchor="__RefHeading___Toc499520074">
            <w:r>
              <w:rPr>
                <w:rStyle w:val="IndexLink"/>
                <w:lang w:val="en-CA" w:eastAsia="en-CA"/>
              </w:rPr>
              <w:t>13</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The Accumulation of Ever-Growing Amounts for Future Recovery Creates an Increasing Burden on Regulators, Ratepayers, and Utilities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12</w:t>
          </w:r>
          <w:r>
            <w:rPr>
              <w:lang w:val="en-CA" w:eastAsia="en-CA"/>
            </w:rPr>
            <w:fldChar w:fldCharType="end"/>
          </w:r>
          <w:r>
            <w:rPr>
              <w:lang w:val="en-CA" w:eastAsia="en-CA"/>
            </w:rPr>
            <w:t>-</w:t>
          </w:r>
          <w:hyperlink w:anchor="__RefHeading___Toc499520075">
            <w:r>
              <w:rPr>
                <w:rStyle w:val="IndexLink"/>
                <w:lang w:val="en-CA" w:eastAsia="en-CA"/>
              </w:rPr>
              <w:t>15</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PG&amp;E Does Not Have “Other Revenues” to Offset Wholesale Power Costs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13</w:t>
          </w:r>
          <w:r>
            <w:rPr>
              <w:lang w:val="en-CA" w:eastAsia="en-CA"/>
            </w:rPr>
            <w:fldChar w:fldCharType="end"/>
          </w:r>
          <w:r>
            <w:rPr>
              <w:lang w:val="en-CA" w:eastAsia="en-CA"/>
            </w:rPr>
            <w:t>-</w:t>
          </w:r>
          <w:hyperlink w:anchor="__RefHeading___Toc499520076">
            <w:r>
              <w:rPr>
                <w:rStyle w:val="IndexLink"/>
                <w:lang w:val="en-CA" w:eastAsia="en-CA"/>
              </w:rPr>
              <w:t>16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4.</w:t>
          </w:r>
          <w:r>
            <w:rPr>
              <w:rFonts w:cs="Times New Roman" w:ascii="Times New Roman" w:hAnsi="Times New Roman"/>
              <w:szCs w:val="24"/>
              <w:lang w:val="en-CA" w:eastAsia="en-CA"/>
            </w:rPr>
            <w:tab/>
          </w:r>
          <w:r>
            <w:rPr>
              <w:szCs w:val="26"/>
              <w:lang w:val="en-CA" w:eastAsia="en-CA"/>
            </w:rPr>
            <w:t>The Problem of Undercollections Will Not Resolve Itself Without Commission Action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14</w:t>
          </w:r>
          <w:r>
            <w:rPr>
              <w:lang w:val="en-CA" w:eastAsia="en-CA"/>
            </w:rPr>
            <w:fldChar w:fldCharType="end"/>
          </w:r>
          <w:r>
            <w:rPr>
              <w:lang w:val="en-CA" w:eastAsia="en-CA"/>
            </w:rPr>
            <w:t>-</w:t>
          </w:r>
          <w:hyperlink w:anchor="__RefHeading___Toc499520077">
            <w:r>
              <w:rPr>
                <w:rStyle w:val="IndexLink"/>
                <w:lang w:val="en-CA" w:eastAsia="en-CA"/>
              </w:rPr>
              <w:t>17</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F.</w:t>
          </w:r>
          <w:r>
            <w:rPr>
              <w:rFonts w:cs="Times New Roman" w:ascii="Times New Roman" w:hAnsi="Times New Roman"/>
              <w:szCs w:val="24"/>
              <w:lang w:val="en-CA" w:eastAsia="en-CA"/>
            </w:rPr>
            <w:tab/>
          </w:r>
          <w:r>
            <w:rPr>
              <w:szCs w:val="28"/>
              <w:lang w:val="en-CA" w:eastAsia="en-CA"/>
            </w:rPr>
            <w:t>The Commission Should Allow PG&amp;E to Recover the Federally Regulated Costs of Wholesale Power It Is Incurring to Serve Its Retail Customers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15</w:t>
          </w:r>
          <w:r>
            <w:rPr>
              <w:lang w:val="en-CA" w:eastAsia="en-CA"/>
            </w:rPr>
            <w:fldChar w:fldCharType="end"/>
          </w:r>
          <w:r>
            <w:rPr>
              <w:lang w:val="en-CA" w:eastAsia="en-CA"/>
            </w:rPr>
            <w:t>-</w:t>
          </w:r>
          <w:hyperlink w:anchor="__RefHeading___Toc499520078">
            <w:r>
              <w:rPr>
                <w:rStyle w:val="IndexLink"/>
                <w:lang w:val="en-CA" w:eastAsia="en-CA"/>
              </w:rPr>
              <w:t>18</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G.</w:t>
          </w:r>
          <w:r>
            <w:rPr>
              <w:rFonts w:cs="Times New Roman" w:ascii="Times New Roman" w:hAnsi="Times New Roman"/>
              <w:szCs w:val="24"/>
              <w:lang w:val="en-CA" w:eastAsia="en-CA"/>
            </w:rPr>
            <w:tab/>
          </w:r>
          <w:r>
            <w:rPr>
              <w:szCs w:val="28"/>
              <w:lang w:val="en-CA" w:eastAsia="en-CA"/>
            </w:rPr>
            <w:t>Organization of Remaining Testimony in Other Chapters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16</w:t>
          </w:r>
          <w:r>
            <w:rPr>
              <w:lang w:val="en-CA" w:eastAsia="en-CA"/>
            </w:rPr>
            <w:fldChar w:fldCharType="end"/>
          </w:r>
          <w:r>
            <w:rPr>
              <w:lang w:val="en-CA" w:eastAsia="en-CA"/>
            </w:rPr>
            <w:t>-</w:t>
          </w:r>
          <w:hyperlink w:anchor="__RefHeading___Toc499520079">
            <w:r>
              <w:rPr>
                <w:rStyle w:val="IndexLink"/>
                <w:lang w:val="en-CA" w:eastAsia="en-CA"/>
              </w:rPr>
              <w:t>19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H.</w:t>
          </w:r>
          <w:r>
            <w:rPr>
              <w:rFonts w:cs="Times New Roman" w:ascii="Times New Roman" w:hAnsi="Times New Roman"/>
              <w:szCs w:val="24"/>
              <w:lang w:val="en-CA" w:eastAsia="en-CA"/>
            </w:rPr>
            <w:tab/>
          </w:r>
          <w:r>
            <w:rPr>
              <w:szCs w:val="28"/>
              <w:lang w:val="en-CA" w:eastAsia="en-CA"/>
            </w:rPr>
            <w:t>Conclusion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17</w:t>
          </w:r>
          <w:r>
            <w:rPr>
              <w:lang w:val="en-CA" w:eastAsia="en-CA"/>
            </w:rPr>
            <w:fldChar w:fldCharType="end"/>
          </w:r>
          <w:r>
            <w:rPr>
              <w:lang w:val="en-CA" w:eastAsia="en-CA"/>
            </w:rPr>
            <w:t>-</w:t>
          </w:r>
          <w:hyperlink w:anchor="__RefHeading___Toc499520080">
            <w:r>
              <w:rPr>
                <w:rStyle w:val="IndexLink"/>
                <w:lang w:val="en-CA" w:eastAsia="en-CA"/>
              </w:rPr>
              <w:t>20</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rPr>
          <w:rFonts w:ascii="Times New Roman" w:hAnsi="Times New Roman" w:cs="Times New Roman"/>
          <w:szCs w:val="24"/>
          <w:lang w:val="en-CA" w:eastAsia="en-CA"/>
        </w:rPr>
      </w:pPr>
      <w:r>
        <w:rPr>
          <w:rFonts w:cs="Times New Roman" w:ascii="Times New Roman" w:hAnsi="Times New Roman"/>
          <w:szCs w:val="24"/>
          <w:lang w:val="en-CA" w:eastAsia="en-CA"/>
        </w:rPr>
      </w:r>
    </w:p>
    <w:p>
      <w:pPr>
        <w:pStyle w:val="TITLE1"/>
        <w:rPr/>
      </w:pPr>
      <w:r>
        <w:rPr/>
        <w:t>PACIFIC GAS AND ELECTRIC COMPANY</w:t>
      </w:r>
    </w:p>
    <w:p>
      <w:pPr>
        <w:pStyle w:val="TITLE2"/>
        <w:rPr/>
      </w:pPr>
      <w:r>
        <w:rPr/>
        <w:t xml:space="preserve">CHAPTER </w:t>
      </w:r>
      <w:r>
        <w:rPr/>
        <w:fldChar w:fldCharType="begin"/>
      </w:r>
      <w:r>
        <w:rPr/>
        <w:instrText xml:space="preserve"> SEQ chap \* ARABIC </w:instrText>
      </w:r>
      <w:r>
        <w:rPr/>
        <w:fldChar w:fldCharType="separate"/>
      </w:r>
      <w:r>
        <w:rPr/>
        <w:t>17</w:t>
      </w:r>
      <w:r>
        <w:rPr/>
        <w:fldChar w:fldCharType="end"/>
      </w:r>
    </w:p>
    <w:p>
      <w:pPr>
        <w:pStyle w:val="TITLE3"/>
        <w:rPr>
          <w:rFonts w:cs="Arial"/>
        </w:rPr>
      </w:pPr>
      <w:r>
        <w:rPr>
          <w:rFonts w:cs="Arial"/>
        </w:rPr>
        <w:t>THE COMMISSION SHOULD ACT IMMEDIATELY TO IMPLEMENT THE END OF THE TRANSITION PERIOD, ADOPT PG&amp;E’S RATE STABILIZATION PLAN AND ADDRESS THE CURRENT CRISIS IN WHOLESALE AND RETAIL ELECTRICITY MARKETS</w:t>
      </w:r>
    </w:p>
    <w:p>
      <w:pPr>
        <w:pStyle w:val="Heading1"/>
        <w:ind w:firstLine="432" w:start="0"/>
        <w:rPr/>
      </w:pPr>
      <w:bookmarkStart w:id="0" w:name="__RefHeading___Toc499520065"/>
      <w:bookmarkEnd w:id="0"/>
      <w:r>
        <w:rPr/>
        <w:t>Introduction</w:t>
      </w:r>
    </w:p>
    <w:p>
      <w:pPr>
        <w:pStyle w:val="Body1"/>
        <w:rPr/>
      </w:pPr>
      <w:r>
        <w:rPr/>
        <w:t xml:space="preserve">The purpose of this testimony is to describe Pacific Gas and Electric Company’s (PG&amp;E’s) proposal for new electric rates to be implemented in 2001, now that PG&amp;E’s transition period has ended.  In this application and testimony, PG&amp;E proposes a Rate Stabilization Plan to serve two functions:  (1) allocate and recover PG&amp;E’s electric cost of service in a way that will protect the financial viability of PG&amp;E; and, (2) mitigate the level and volatility of wholesale power prices to its customers now that the electric transition period under California Assembly Bill (AB) 1890 has ended.  </w:t>
      </w:r>
    </w:p>
    <w:p>
      <w:pPr>
        <w:pStyle w:val="Body1"/>
        <w:rPr/>
      </w:pPr>
      <w:r>
        <w:rPr/>
        <w:t>PG&amp;E’s proposal, if adopted, will fulfill its commitment to protect customers against the level of rate shocks and price volatility experienced by customers of San Diego Gas &amp; Electric Company (SDG&amp;E) during the summer of 2000 because of disorders in wholesale power markets.  The Rate Stabilization Plan (RSP) would phase in recovery of high wholesale electric costs over a five</w:t>
        <w:noBreakHyphen/>
        <w:t>year period and soften the rate shock that otherwise would occur if PG&amp;E were to immediately begin to pass through wholesale electric prices as incurred.  This rate stabilization plan, and associated rates, if adopted, would supersede the end of freeze rates filed in November 22, 2000 by PG&amp;E Advice 2057</w:t>
        <w:noBreakHyphen/>
        <w:t>E in compliance with Decisions 99</w:t>
        <w:noBreakHyphen/>
        <w:t>10</w:t>
        <w:noBreakHyphen/>
        <w:t>057, 00</w:t>
        <w:noBreakHyphen/>
        <w:t>03</w:t>
        <w:noBreakHyphen/>
        <w:t>058, and 00</w:t>
        <w:noBreakHyphen/>
        <w:t>06</w:t>
        <w:noBreakHyphen/>
        <w:t>034.</w:t>
      </w:r>
    </w:p>
    <w:p>
      <w:pPr>
        <w:pStyle w:val="Body1"/>
        <w:rPr/>
      </w:pPr>
      <w:r>
        <w:rPr>
          <w:rFonts w:cs="Arial"/>
        </w:rPr>
        <w:t>As PG&amp;E has explained in prior Commission filings,</w:t>
      </w:r>
      <w:r>
        <w:rPr>
          <w:rFonts w:cs="Arial"/>
          <w:b/>
          <w:bCs/>
          <w:position w:val="6"/>
        </w:rPr>
        <w:t>[</w:t>
      </w:r>
      <w:r>
        <w:rPr>
          <w:rStyle w:val="FootnoteCharacters"/>
          <w:rStyle w:val="FootnoteReference"/>
          <w:bCs/>
        </w:rPr>
        <w:footnoteReference w:id="2"/>
      </w:r>
      <w:r>
        <w:rPr>
          <w:b/>
          <w:bCs/>
          <w:position w:val="6"/>
        </w:rPr>
        <w:t>]</w:t>
      </w:r>
      <w:r>
        <w:rPr/>
        <w:t xml:space="preserve"> PG&amp;E’s energy costs continue to exceed electric revenues every month.  PG&amp;E currently has about $3.4 billion of uncollected wholesale electric costs in its Transition Revenue Account (TRA).  At the same time, as explained in more detail below, PG&amp;E has recovered all transition costs that were to be collected during the transition period mandated in AB 1890.  Under the terms of AB 1890 and various Commission decisions, rates must be changed to reflect the end of the transition period and must be changed quickly to avert a severe financial crisis to the Company. </w:t>
      </w:r>
    </w:p>
    <w:p>
      <w:pPr>
        <w:pStyle w:val="Body1"/>
        <w:rPr/>
      </w:pPr>
      <w:r>
        <w:rPr>
          <w:rFonts w:cs="Arial"/>
        </w:rPr>
        <w:t xml:space="preserve">Because of the financial emergency PG&amp;E faces, PG&amp;E proposes that these new rates be implemented on an </w:t>
      </w:r>
      <w:r>
        <w:rPr>
          <w:color w:val="000000"/>
        </w:rPr>
        <w:t xml:space="preserve">interim, </w:t>
      </w:r>
      <w:r>
        <w:rPr>
          <w:i/>
          <w:iCs/>
          <w:color w:val="000000"/>
        </w:rPr>
        <w:t>ex parte</w:t>
      </w:r>
      <w:r>
        <w:rPr>
          <w:color w:val="000000"/>
        </w:rPr>
        <w:t xml:space="preserve"> basis, subject to refund,</w:t>
      </w:r>
      <w:r>
        <w:rPr/>
        <w:t xml:space="preserve"> January 1, 2001, to address the growing problem of uncollected wholesale electric costs as quickly as possible.  PG&amp;E recognizes that a full record cannot be created and examined before January 1, and therefore proposes that the interim rates be trued up when final rates are adopted.  PG&amp;E proposes that final rates from this application be implemented no later than March 31, 2001.</w:t>
      </w:r>
    </w:p>
    <w:p>
      <w:pPr>
        <w:pStyle w:val="Body1"/>
        <w:rPr/>
      </w:pPr>
      <w:r>
        <w:rPr/>
        <w:t>PG&amp;E’s RSP has the following main components:</w:t>
      </w:r>
    </w:p>
    <w:p>
      <w:pPr>
        <w:pStyle w:val="Bullet1"/>
        <w:numPr>
          <w:ilvl w:val="0"/>
          <w:numId w:val="6"/>
        </w:numPr>
        <w:rPr/>
      </w:pPr>
      <w:r>
        <w:rPr/>
        <w:t>Electric rates will be unbundled and added together to determine total charges.</w:t>
      </w:r>
    </w:p>
    <w:p>
      <w:pPr>
        <w:pStyle w:val="Bullet1"/>
        <w:numPr>
          <w:ilvl w:val="0"/>
          <w:numId w:val="6"/>
        </w:numPr>
        <w:rPr/>
      </w:pPr>
      <w:r>
        <w:rPr/>
        <w:t>Current wholesale electric commodity costs will be recovered through a stable rate component, initially capped at 6.5 cents per kilowatt-hour (kWh).  During the five</w:t>
        <w:noBreakHyphen/>
        <w:t>year term of the RSP, the commodity price will be readjusted annually to recover any outstanding undercollections of electric commodity costs, with additional adjustments if uncollected costs exceed a predetermined level.</w:t>
      </w:r>
    </w:p>
    <w:p>
      <w:pPr>
        <w:pStyle w:val="Bullet1"/>
        <w:numPr>
          <w:ilvl w:val="0"/>
          <w:numId w:val="6"/>
        </w:numPr>
        <w:rPr/>
      </w:pPr>
      <w:r>
        <w:rPr/>
        <w:t xml:space="preserve">Mandatory rate stabilization will apply to all customers except those served in rate schedules E-19M, E-20 and E-25. </w:t>
      </w:r>
    </w:p>
    <w:p>
      <w:pPr>
        <w:pStyle w:val="Bullet1"/>
        <w:numPr>
          <w:ilvl w:val="0"/>
          <w:numId w:val="6"/>
        </w:numPr>
        <w:rPr/>
      </w:pPr>
      <w:r>
        <w:rPr/>
        <w:t>Optional rate stabilization will be available for customers served on schedule E-19M, E-20 and E-25.</w:t>
      </w:r>
    </w:p>
    <w:p>
      <w:pPr>
        <w:pStyle w:val="Bullet1"/>
        <w:numPr>
          <w:ilvl w:val="0"/>
          <w:numId w:val="6"/>
        </w:numPr>
        <w:rPr/>
      </w:pPr>
      <w:r>
        <w:rPr/>
        <w:t>The low-income discount through the California Alternative Rates for Energy, or CARE program, will be increased from 15 percent to 25 percent.  In addition, PG&amp;E will augment its low-income outreach efforts to improve participation in the program.</w:t>
      </w:r>
    </w:p>
    <w:p>
      <w:pPr>
        <w:pStyle w:val="Bullet1"/>
        <w:numPr>
          <w:ilvl w:val="0"/>
          <w:numId w:val="6"/>
        </w:numPr>
        <w:rPr/>
      </w:pPr>
      <w:r>
        <w:rPr/>
        <w:t>PG&amp;E’s undercollected balance in the Transition Revenue Account (TRA) will be collected through a separate rate component over five years.</w:t>
      </w:r>
    </w:p>
    <w:p>
      <w:pPr>
        <w:pStyle w:val="Bullet1"/>
        <w:numPr>
          <w:ilvl w:val="0"/>
          <w:numId w:val="6"/>
        </w:numPr>
        <w:rPr/>
      </w:pPr>
      <w:r>
        <w:rPr/>
        <w:t xml:space="preserve">The TRA undercollection will be offset by 50 percent of Diablo Canyon earnings above the Incremental Cost Incentive Price (ICIP), subject to later true-up based on the adopted ratepayers/shareholder benefit sharing arrangement for the plant.  In addition, 90 percent of PG&amp;E’s hydroelectric generation earnings above a cost of service formula, based on a minimum value of $2.8 billion, during the period will be used to offset the TRA undercollection, subject to later true-up based on the outcome of the proceeding to market value the facilities and on shareholders’ entitlement to post-freeze market revenues from the facilities.  </w:t>
      </w:r>
    </w:p>
    <w:p>
      <w:pPr>
        <w:pStyle w:val="Bullet1"/>
        <w:numPr>
          <w:ilvl w:val="0"/>
          <w:numId w:val="6"/>
        </w:numPr>
        <w:rPr/>
      </w:pPr>
      <w:r>
        <w:rPr/>
        <w:t xml:space="preserve">These revenue offsets will be 100 percent in the first two years of the plan, when electric commodity costs are expected to be highest, and will be adjusted in the later years of the RSP. </w:t>
      </w:r>
    </w:p>
    <w:p>
      <w:pPr>
        <w:pStyle w:val="Bullet1"/>
        <w:numPr>
          <w:ilvl w:val="0"/>
          <w:numId w:val="6"/>
        </w:numPr>
        <w:rPr/>
      </w:pPr>
      <w:r>
        <w:rPr/>
        <w:t>All above-cost earnings from PG&amp;E’s Hunters Point Power Plant also will be credited against rates, subject to later true-up based on shareholders’ entitlement to post-freeze market revenues from Humboldt Bay.</w:t>
      </w:r>
    </w:p>
    <w:p>
      <w:pPr>
        <w:pStyle w:val="Bullet1"/>
        <w:numPr>
          <w:ilvl w:val="0"/>
          <w:numId w:val="6"/>
        </w:numPr>
        <w:rPr/>
      </w:pPr>
      <w:r>
        <w:rPr/>
        <w:t>Electric rate components for transmission, distribution, nuclear decommissioning, ongoing CTC, reliability services, FTA, RRBMA and public purpose programs will continue to change through the normal mechanisms for setting those rates and in accordance with the Commission’s post-transition electric ratemaking decisions.</w:t>
      </w:r>
    </w:p>
    <w:p>
      <w:pPr>
        <w:pStyle w:val="Bullet1"/>
        <w:numPr>
          <w:ilvl w:val="0"/>
          <w:numId w:val="3"/>
        </w:numPr>
        <w:rPr/>
      </w:pPr>
      <w:r>
        <w:rPr/>
        <w:t xml:space="preserve">A Distribution Revenue Adjustment Mechanism (DRAM), similar to the former Electric Rate Adjustment Mechanism (ERAM), will remove any disincentive to conservation efforts until a performance-based ratemaking mechanism is adopted for PG&amp;E. </w:t>
      </w:r>
    </w:p>
    <w:p>
      <w:pPr>
        <w:pStyle w:val="Body1"/>
        <w:rPr/>
      </w:pPr>
      <w:r>
        <w:rPr/>
        <w:t xml:space="preserve">PG&amp;E believes this rate stabilization plan can cushion the impact of wholesale electric costs for customers while maintaining the Company’s financial viability.  However, this plan is only one part of what must be a comprehensive solution to unsustainable costs.  Concerns about soaring electric prices have occupied customers, the utilities, this Commission, the Federal Energy Regulatory Commission (FERC), state and federal policy makers and the public since early summer.  </w:t>
      </w:r>
    </w:p>
    <w:p>
      <w:pPr>
        <w:pStyle w:val="Body1"/>
        <w:rPr/>
      </w:pPr>
      <w:r>
        <w:rPr/>
        <w:t xml:space="preserve">This filing will not directly propose solutions to the dysfunction in California’s wholesale electric power market evidenced over the past few months.  However, the stabilized rate levels proposed in this filing are directly dependent on the success or failure of the various actions federal and state regulators, policy makers and stakeholders, including PG&amp;E, are taking to reduce prices over the short-term and long-term.  These include beneficial bilateral, “forward market” purchasing arrangements, as well as demand side and retail pricing programs to encourage conservation.  In addition, PG&amp;E and others have made detailed proposals at the FERC and to the Independent System Operator (ISO) to temporarily cap wholesale electricity prices and mitigate the exercise of market power by third party generators and marketers selling into California’s wholesale markets.  </w:t>
      </w:r>
    </w:p>
    <w:p>
      <w:pPr>
        <w:pStyle w:val="Body1"/>
        <w:rPr/>
      </w:pPr>
      <w:r>
        <w:rPr/>
        <w:t xml:space="preserve">If these actions result in lower wholesale prices by next summer and beyond, PG&amp;E will recover its uncollected power costs faster and the rate levels under this proposal will come down faster.  For example, if FERC were to adopt the immediate refund proposals that PG&amp;E has demanded in its comments on FERC’s November 1 draft order, PG&amp;E would receive a refund of $500 million or more, which would immediately reduce the amount of the charge required to amortize PG&amp;E’s current TRA undercollection.  </w:t>
      </w:r>
    </w:p>
    <w:p>
      <w:pPr>
        <w:pStyle w:val="Body1"/>
        <w:rPr/>
      </w:pPr>
      <w:r>
        <w:rPr/>
        <w:t>At the same time, many forecasts of forward Power Exchange (PX) prices over the next 6</w:t>
        <w:noBreakHyphen/>
        <w:t>12 months indicate that wholesale power prices will remain substantially higher than the amounts allowed in PG&amp;E’s current retail rates.  Key components of wholesale power prices, such as natural gas prices and the costs of emissions credits, also remain high.  Thus, regardless of the level of PG&amp;E’s current TRA undercollection, until “going forward” wholesale prices are mitigated and reduced over a sustainable period of time, PG&amp;E must be able to increase its revenues to continue purchasing power, continue financing its massive and growing shortfall in cost recovery, and hence continue operations and services to its customers.</w:t>
      </w:r>
    </w:p>
    <w:p>
      <w:pPr>
        <w:pStyle w:val="Body1"/>
        <w:rPr/>
      </w:pPr>
      <w:r>
        <w:rPr/>
        <w:t>In addition to describing PG&amp;E’s actions to reduce electricity costs in connection with its rate stabilization plan, this testimony makes the following main points:</w:t>
      </w:r>
    </w:p>
    <w:p>
      <w:pPr>
        <w:pStyle w:val="Bullet1"/>
        <w:numPr>
          <w:ilvl w:val="0"/>
          <w:numId w:val="3"/>
        </w:numPr>
        <w:rPr/>
      </w:pPr>
      <w:r>
        <w:rPr/>
        <w:t>PG&amp;E’s transition period is over; the transition costs required by AB 1890 to be collected by March 31, 2002, were recovered prior to August 31, 2000, in accordance with Commission decisions and AB 1890.</w:t>
      </w:r>
    </w:p>
    <w:p>
      <w:pPr>
        <w:pStyle w:val="Bullet1"/>
        <w:numPr>
          <w:ilvl w:val="0"/>
          <w:numId w:val="3"/>
        </w:numPr>
        <w:rPr/>
      </w:pPr>
      <w:r>
        <w:rPr/>
        <w:t>The Commission’s own decisions and state and federal law require it to allow PG&amp;E to recover the federally regulated costs of wholesale power which it has incurred and will incur in purchasing energy for the customers it is mandated to serve.</w:t>
      </w:r>
    </w:p>
    <w:p>
      <w:pPr>
        <w:pStyle w:val="Bullet1"/>
        <w:numPr>
          <w:ilvl w:val="0"/>
          <w:numId w:val="3"/>
        </w:numPr>
        <w:rPr/>
      </w:pPr>
      <w:r>
        <w:rPr/>
        <w:t>The Commission should act immediately to assure the financial and credit markets that PG&amp;E will be allowed to recover the shortfall accumulating in the TRA, to ensure that PG&amp;E will be able to borrow from the financial markets to manage its cash flow and finance the massive undercollection in power costs it will be carrying during the rate stabilization period.</w:t>
      </w:r>
    </w:p>
    <w:p>
      <w:pPr>
        <w:pStyle w:val="Bullet1"/>
        <w:numPr>
          <w:ilvl w:val="0"/>
          <w:numId w:val="3"/>
        </w:numPr>
        <w:rPr/>
      </w:pPr>
      <w:r>
        <w:rPr/>
        <w:t>The Commission should adopt PG&amp;E’s RSP to protect PG&amp;E’s customers from extreme rate increases and price volatility that would otherwise occur after the end of the transition period.</w:t>
      </w:r>
      <w:r>
        <w:rPr>
          <w:b/>
          <w:position w:val="6"/>
        </w:rPr>
        <w:t>[</w:t>
      </w:r>
      <w:r>
        <w:rPr>
          <w:rStyle w:val="FootnoteCharacters"/>
          <w:rStyle w:val="FootnoteReference"/>
          <w:bCs/>
        </w:rPr>
        <w:footnoteReference w:id="3"/>
      </w:r>
      <w:r>
        <w:rPr>
          <w:b/>
          <w:position w:val="6"/>
        </w:rPr>
        <w:t>]</w:t>
      </w:r>
    </w:p>
    <w:p>
      <w:pPr>
        <w:pStyle w:val="Heading1"/>
        <w:ind w:firstLine="432" w:start="0"/>
        <w:rPr/>
      </w:pPr>
      <w:bookmarkStart w:id="1" w:name="__RefHeading___Toc499520066"/>
      <w:bookmarkEnd w:id="1"/>
      <w:r>
        <w:rPr/>
        <w:t>PG&amp;E’s Rate Stabilization Plan is Part of Its Overall Program to Stabilize and Reduce Wholesale Power Costs</w:t>
      </w:r>
    </w:p>
    <w:p>
      <w:pPr>
        <w:pStyle w:val="Body1"/>
        <w:rPr/>
      </w:pPr>
      <w:r>
        <w:rPr/>
        <w:t>PG&amp;E recognizes that implementation of a rate stabilization plan is only one of the many reforms necessary to address the crisis facing California’s electric industry.  PG&amp;E is working aggressively on many fronts to address the root causes of the dysfunctional market.  Its key objective in these initiatives is to lower the cost of power to customers.  While new initiatives begin almost daily, PG&amp;E currently is focusing its attention on four key areas of market reform:</w:t>
      </w:r>
    </w:p>
    <w:p>
      <w:pPr>
        <w:pStyle w:val="Bullet1"/>
        <w:numPr>
          <w:ilvl w:val="0"/>
          <w:numId w:val="3"/>
        </w:numPr>
        <w:rPr/>
      </w:pPr>
      <w:r>
        <w:rPr/>
        <w:t>Enhancing power supplies through expedited interconnection of new power generation within California;</w:t>
      </w:r>
    </w:p>
    <w:p>
      <w:pPr>
        <w:pStyle w:val="Bullet1"/>
        <w:numPr>
          <w:ilvl w:val="0"/>
          <w:numId w:val="3"/>
        </w:numPr>
        <w:rPr/>
      </w:pPr>
      <w:r>
        <w:rPr/>
        <w:t>Reforming ISO and PX markets and pricing policies;</w:t>
      </w:r>
    </w:p>
    <w:p>
      <w:pPr>
        <w:pStyle w:val="Bullet1"/>
        <w:numPr>
          <w:ilvl w:val="0"/>
          <w:numId w:val="3"/>
        </w:numPr>
        <w:rPr/>
      </w:pPr>
      <w:r>
        <w:rPr/>
        <w:t xml:space="preserve">Initiating new, longer-term energy procurement and hedging practices to reduce reliance on volatile spot electricity supplies; and </w:t>
      </w:r>
    </w:p>
    <w:p>
      <w:pPr>
        <w:pStyle w:val="Bullet1"/>
        <w:numPr>
          <w:ilvl w:val="0"/>
          <w:numId w:val="3"/>
        </w:numPr>
        <w:rPr/>
      </w:pPr>
      <w:r>
        <w:rPr/>
        <w:t>Enhancing demand responsiveness through customer energy efficiency and interruptible load programs.</w:t>
      </w:r>
    </w:p>
    <w:p>
      <w:pPr>
        <w:pStyle w:val="Heading2"/>
        <w:ind w:firstLine="432" w:start="0"/>
        <w:rPr/>
      </w:pPr>
      <w:bookmarkStart w:id="2" w:name="__RefHeading___Toc499520067"/>
      <w:bookmarkEnd w:id="2"/>
      <w:r>
        <w:rPr/>
        <w:t>Expedited Interconnection of New Generation</w:t>
      </w:r>
    </w:p>
    <w:p>
      <w:pPr>
        <w:pStyle w:val="Body2"/>
        <w:rPr/>
      </w:pPr>
      <w:r>
        <w:rPr/>
        <w:t xml:space="preserve">It is now well recognized that California is facing an electric supply shortage.  Many parties have proposed projects to address the shortage, and PG&amp;E is experiencing a flood of requests to interconnect with its natural gas and electric systems.  As a result, PG&amp;E has begun several initiatives to expedite the interconnection of its gas and electric facilities with new electric generation projects in the ISO control area, and to expand the electric transmission and distribution facilities needed to connect these projects with fast-growing loads.  </w:t>
      </w:r>
    </w:p>
    <w:p>
      <w:pPr>
        <w:pStyle w:val="Body2"/>
        <w:rPr/>
      </w:pPr>
      <w:r>
        <w:rPr/>
        <w:t xml:space="preserve">In the past year, PG&amp;E formed an interdepartmental team to streamline the interconnection process for new generation facilities planned in its service territory over the next four years.  This initiative is a top priority of the Company and is being spearheaded by an officer steering committee.  PG&amp;E is working closely with industry stakeholders to standardize the gas and electric interconnection process and looking for ways to work more effectively with generators.  For example, PG&amp;E convened an interconnection workshop this month to facilitate the siting of emergency peaking capacity under consideration in response to the ISO’s Request for Bids.  As part of this process, PG&amp;E identified sites available for the expedited development of this peaking capacity.  </w:t>
      </w:r>
    </w:p>
    <w:p>
      <w:pPr>
        <w:pStyle w:val="Body2"/>
        <w:rPr/>
      </w:pPr>
      <w:r>
        <w:rPr/>
        <w:t>Similarly, as indicated in PG&amp;E’s Comprehensive Gas OII Settlement Agreement approved in Decision 00</w:t>
        <w:noBreakHyphen/>
        <w:t>05</w:t>
        <w:noBreakHyphen/>
        <w:t xml:space="preserve">049, PG&amp;E is working collaboratively with electric generators and other parties in its Gas Accord II negotiations to improve the natural gas interconnection process and address other issues of interest to generators.  </w:t>
      </w:r>
    </w:p>
    <w:p>
      <w:pPr>
        <w:pStyle w:val="Body2"/>
        <w:rPr/>
      </w:pPr>
      <w:r>
        <w:rPr/>
        <w:t>As described in more detail in PG&amp;E’s November 22, 2000, response to the Commission in Investigation 00</w:t>
        <w:noBreakHyphen/>
        <w:t>11</w:t>
        <w:noBreakHyphen/>
        <w:t xml:space="preserve">001, PG&amp;E will continue to make improvements to its natural gas and electric network as necessary to accommodate new generation facilities.  PG&amp;E is expediting this ongoing work to the maximum extent possible.  This includes hiring additional resources to address the increased workload associated with interconnection planning and construction issues.  Through all these efforts, PG&amp;E is poised to accommodate the interconnection of new supply resources on a timely basis to address the state’s current imbalance between supply and demand.  </w:t>
      </w:r>
    </w:p>
    <w:p>
      <w:pPr>
        <w:pStyle w:val="Heading2"/>
        <w:ind w:firstLine="432" w:start="0"/>
        <w:rPr/>
      </w:pPr>
      <w:bookmarkStart w:id="3" w:name="__RefHeading___Toc499520068"/>
      <w:bookmarkEnd w:id="3"/>
      <w:r>
        <w:rPr/>
        <w:t>Reform of ISO and PX markets</w:t>
      </w:r>
    </w:p>
    <w:p>
      <w:pPr>
        <w:pStyle w:val="Body2"/>
        <w:rPr/>
      </w:pPr>
      <w:r>
        <w:rPr/>
        <w:t xml:space="preserve">PG&amp;E has been active before FERC, the California ISO and this Commission recommending remedies to address the fact that the ISO and PX energy and ancillary services markets are not workably competitive.  Both short-run and long-run solutions are desperately needed to correct the market’s structural and design flaws and bring supply and demand into better balance.  </w:t>
      </w:r>
    </w:p>
    <w:p>
      <w:pPr>
        <w:pStyle w:val="Body2"/>
        <w:rPr/>
      </w:pPr>
      <w:r>
        <w:rPr/>
        <w:t>PG&amp;E supports the use of price caps as a short-term solution for a market that is producing unjust and unreasonable rates.  For example, PG&amp;E has proposed the adoption of load-differentiated price caps to the ISO Governing Board.  In addition, PG&amp;E, Southern California Edison (SCE) and The Utility Reform Network (TURN) filed a joint motion for emergency relief at FERC recommending that a temporary $100/MWh cap be applied to all energy, ancillary services, and out-of-market dispatch calls in the ISO and PX markets.  Although FERC’s November 1, 2000, decision proposing remedies for the California wholesale market is a step in the right direction, PG&amp;E continues to support a load-differentiated price cap approach until comprehensive market-power mitigation measures can be put in place.</w:t>
      </w:r>
      <w:r>
        <w:rPr>
          <w:b/>
          <w:color w:val="000000"/>
          <w:position w:val="6"/>
        </w:rPr>
        <w:t>[</w:t>
      </w:r>
      <w:r>
        <w:rPr>
          <w:rStyle w:val="FootnoteCharacters"/>
          <w:rStyle w:val="FootnoteReference"/>
          <w:rFonts w:cs="Arial"/>
          <w:bCs/>
        </w:rPr>
        <w:footnoteReference w:id="4"/>
      </w:r>
      <w:r>
        <w:rPr>
          <w:b/>
          <w:color w:val="000000"/>
          <w:position w:val="6"/>
        </w:rPr>
        <w:t>]</w:t>
      </w:r>
      <w:r>
        <w:rPr/>
        <w:t xml:space="preserve"> </w:t>
      </w:r>
    </w:p>
    <w:p>
      <w:pPr>
        <w:pStyle w:val="Body2"/>
        <w:rPr/>
      </w:pPr>
      <w:r>
        <w:rPr/>
        <w:t>PG&amp;E has strongly advocated additional remedies to FERC and other regulatory agencies, including:</w:t>
      </w:r>
    </w:p>
    <w:p>
      <w:pPr>
        <w:pStyle w:val="Bullet2"/>
        <w:numPr>
          <w:ilvl w:val="0"/>
          <w:numId w:val="3"/>
        </w:numPr>
        <w:rPr/>
      </w:pPr>
      <w:r>
        <w:rPr/>
        <w:t>Full refunds of all unjust and unreasonable rates charged to California consumers;</w:t>
      </w:r>
    </w:p>
    <w:p>
      <w:pPr>
        <w:pStyle w:val="Bullet2"/>
        <w:numPr>
          <w:ilvl w:val="0"/>
          <w:numId w:val="3"/>
        </w:numPr>
        <w:rPr/>
      </w:pPr>
      <w:r>
        <w:rPr/>
        <w:t>Elimination of the PX buy/sell requirement; and</w:t>
      </w:r>
    </w:p>
    <w:p>
      <w:pPr>
        <w:pStyle w:val="Bullet2"/>
        <w:numPr>
          <w:ilvl w:val="0"/>
          <w:numId w:val="3"/>
        </w:numPr>
        <w:rPr/>
      </w:pPr>
      <w:r>
        <w:rPr/>
        <w:t>Development of comprehensive market power mitigation measures.</w:t>
      </w:r>
    </w:p>
    <w:p>
      <w:pPr>
        <w:pStyle w:val="Body2"/>
        <w:rPr/>
      </w:pPr>
      <w:r>
        <w:rPr/>
        <w:t xml:space="preserve">PG&amp;E will continue to aggressively work with stakeholders and participate before regulatory agencies to devise short-term and long-term remedies to wholesale power market problems.  PG&amp;E recognizes the importance of moving quickly to redesign the system so that the events of last summer are not repeated.  </w:t>
      </w:r>
    </w:p>
    <w:p>
      <w:pPr>
        <w:pStyle w:val="Heading2"/>
        <w:ind w:firstLine="432" w:start="0"/>
        <w:rPr/>
      </w:pPr>
      <w:bookmarkStart w:id="4" w:name="__RefHeading___Toc499520069"/>
      <w:bookmarkEnd w:id="4"/>
      <w:r>
        <w:rPr/>
        <w:t>New Energy Procurement And Hedging Practices</w:t>
      </w:r>
    </w:p>
    <w:p>
      <w:pPr>
        <w:pStyle w:val="Body2"/>
        <w:rPr/>
      </w:pPr>
      <w:r>
        <w:rPr/>
        <w:t>One of the most important means of hedging price risk volatility is through forward contracts.  FERC’s November 1, 2000, decision properly recognizes the need for utilities to be able to reduce excessive reliance on the spot market and purchase more power through such forward contracts.  Recently, the Commission provided California utilities with some of the needed flexibility to enter bilateral contracts.  Nevertheless, the Commission has not yet followed through to provide reasonableness guidance, and significantly more needs to be done.</w:t>
      </w:r>
    </w:p>
    <w:p>
      <w:pPr>
        <w:pStyle w:val="Body2"/>
        <w:rPr/>
      </w:pPr>
      <w:r>
        <w:rPr/>
        <w:t>During 2000, PG&amp;E reduced its reliance on electric spot purchases and increased its use of forward contracts.  In addition to PG&amp;E’s ongoing participation in the PX block forward market, PG&amp;E has recently entered into a number of bilateral contract arrangements with generators.  To expand and continue such contracting practices over the near term, clear, before-the-fact, reasonableness review standards are needed.  PG&amp;E has advanced such reasonableness standards in Advice 2041</w:t>
        <w:noBreakHyphen/>
        <w:t>E filed October 19, 2000, pursuant to Decision 00</w:t>
        <w:noBreakHyphen/>
        <w:t>08</w:t>
        <w:noBreakHyphen/>
        <w:t xml:space="preserve">023.  The Commission has yet to act on this advice filing.  </w:t>
      </w:r>
    </w:p>
    <w:p>
      <w:pPr>
        <w:pStyle w:val="Body2"/>
        <w:rPr/>
      </w:pPr>
      <w:r>
        <w:rPr/>
        <w:t xml:space="preserve">PG&amp;E continues to urge the Commission to adopt such standards so that PG&amp;E may expand its use of forward energy, ancillary services and capacity products to hedge volatile spot market prices and provide customers with desired price stability.  PG&amp;E makes no profit on its procurement of wholesale power, and therefore the reduced costs resulting from such forward contracts would be immediately reduce power costs which otherwise would accrue uncollected, even under the RSP.  </w:t>
      </w:r>
    </w:p>
    <w:p>
      <w:pPr>
        <w:pStyle w:val="Heading2"/>
        <w:ind w:firstLine="432" w:start="0"/>
        <w:rPr/>
      </w:pPr>
      <w:bookmarkStart w:id="5" w:name="__RefHeading___Toc499520070"/>
      <w:r>
        <w:rPr/>
        <w:t>Enhanced Demand Responsiveness And Energy Efficiency Programs</w:t>
      </w:r>
      <w:bookmarkEnd w:id="5"/>
      <w:r>
        <w:rPr/>
        <w:t xml:space="preserve"> </w:t>
      </w:r>
    </w:p>
    <w:p>
      <w:pPr>
        <w:pStyle w:val="Body2"/>
        <w:rPr/>
      </w:pPr>
      <w:r>
        <w:rPr/>
        <w:t>The development of demand-side response is a critical element of a well functioning market.  The Commission has recognized the importance of demand-side programs to improve electric reliability and lower energy prices by initiating Rulemaking 00</w:t>
        <w:noBreakHyphen/>
        <w:t>10</w:t>
        <w:noBreakHyphen/>
        <w:t xml:space="preserve">002 into interruptible load programs.  As part of this rulemaking process and through two Advice Letter filings, PG&amp;E has proposed a modest expansion of its non-firm interruptible load program.  In addition, PG&amp;E is proposing implementation of a new Optional Binding Mandatory Curtailment (OBMC) rate schedule.  This program would pave the way for customers to reduce their demand by a prescribed amount of electric load in lieu of being included in a utility’s rotating outage block progression.  </w:t>
      </w:r>
    </w:p>
    <w:p>
      <w:pPr>
        <w:pStyle w:val="Body2"/>
        <w:rPr/>
      </w:pPr>
      <w:r>
        <w:rPr/>
        <w:t xml:space="preserve">PG&amp;E is also continuing its efforts to work with stakeholders to consider additional curtailment initiatives that could be implemented in time for Summer 2001.  These initiatives could cover both large </w:t>
      </w:r>
      <w:r>
        <w:rPr>
          <w:color w:val="000000"/>
        </w:rPr>
        <w:t>and small customers and may take the form of pilot programs.  If and when such proposals are developed, PG&amp;E intends to file those as advice letters and seek expedited action from this Commission.  Finally, PG&amp;E is coordinating with the ISO and PX to assist those entities in the successful implementation of their load management and curtailment efforts for Summer 2001.</w:t>
      </w:r>
    </w:p>
    <w:p>
      <w:pPr>
        <w:pStyle w:val="Body2"/>
        <w:rPr/>
      </w:pPr>
      <w:r>
        <w:rPr/>
        <w:t xml:space="preserve">PG&amp;E has recently proposed changes to its existing Energy Efficiency programs to increase their effectiveness and address California’s current reliability needs.  These changes are enumerated in PG&amp;E’s 2001 Energy Efficiency Program Application.  These programs are expected to achieve demand reductions and energy savings during 2001 of 38 MW, 137 million kWh, and 4 million therms.  In 2002 and beyond, energy savings are projected at 38 MW, 98 million kWh and 1.5 million therms.  PG&amp;E expects to spend $156 million on these programs.  </w:t>
      </w:r>
    </w:p>
    <w:p>
      <w:pPr>
        <w:pStyle w:val="Body2"/>
        <w:rPr/>
      </w:pPr>
      <w:r>
        <w:rPr/>
        <w:t>These market reforms will benefit California’s electricity market, and should lower electric prices to PG&amp;E’s consumers.  However, even with these market reforms, a moderate near-term rate increase is required to stabilize procurement cost recovery and begin amortizing the TRA undercollection.  Such a near-term rate increase and rate stabilization plan must be adopted to address the financial crisis facing PG&amp;E.</w:t>
      </w:r>
    </w:p>
    <w:p>
      <w:pPr>
        <w:pStyle w:val="Heading1"/>
        <w:ind w:firstLine="432" w:start="0"/>
        <w:rPr/>
      </w:pPr>
      <w:bookmarkStart w:id="6" w:name="__RefHeading___Toc499520071"/>
      <w:bookmarkEnd w:id="6"/>
      <w:r>
        <w:rPr/>
        <w:t>PG&amp;E’s Transition Period Ended Prior to August 31, 2000, and Therefore PG&amp;E’s Rate Stabilization Plan Should Be Adopted Immediately</w:t>
      </w:r>
    </w:p>
    <w:p>
      <w:pPr>
        <w:pStyle w:val="Body1"/>
        <w:rPr/>
      </w:pPr>
      <w:r>
        <w:rPr/>
        <w:t xml:space="preserve">In accordance with AB 1890, the Commission provided that the transition cost recovery period would end when costs in the Transition Cost Balancing Account (TCBA) that could not be deferred by statute were collected.  Although customer rates would not change immediately, since a minimum time was required for the Commission to approve the new rates, the end date of the rate freeze would be calculated by each utility as the date at which these transition costs were collected.  </w:t>
      </w:r>
    </w:p>
    <w:p>
      <w:pPr>
        <w:pStyle w:val="Body1"/>
        <w:rPr/>
      </w:pPr>
      <w:r>
        <w:rPr/>
        <w:t>In its decision defining the criteria for determining the end date of the freeze, the CPUC said:</w:t>
      </w:r>
    </w:p>
    <w:p>
      <w:pPr>
        <w:pStyle w:val="Quotation1"/>
        <w:rPr>
          <w:rFonts w:cs="Arial"/>
        </w:rPr>
      </w:pPr>
      <w:r>
        <w:rPr>
          <w:rFonts w:cs="Arial"/>
        </w:rPr>
        <w:t>The end of the rate freeze occurs on the date the utility has recovered “commission-authorized costs for utility generation-related assets and obligations,” as set forth in § 368(a) and with the exceptions and conditions set forth in § 367 and 376. This is the sole criterion for determining the end of the rate freeze.  Each utility will determine the date of the end of the rate freeze and implement the end of the rate freeze pursuant to the process adopted in Section ll.A.1 of this decision.  (D.99</w:t>
        <w:noBreakHyphen/>
        <w:t>10</w:t>
        <w:noBreakHyphen/>
        <w:t>057, p. 16)</w:t>
      </w:r>
    </w:p>
    <w:p>
      <w:pPr>
        <w:pStyle w:val="Quotation1"/>
        <w:rPr>
          <w:rFonts w:cs="Arial"/>
        </w:rPr>
      </w:pPr>
      <w:r>
        <w:rPr>
          <w:rFonts w:cs="Arial"/>
        </w:rPr>
        <w:t>And further:</w:t>
      </w:r>
    </w:p>
    <w:p>
      <w:pPr>
        <w:pStyle w:val="Quotation1"/>
        <w:rPr/>
      </w:pPr>
      <w:r>
        <w:rPr>
          <w:rFonts w:cs="Arial"/>
        </w:rPr>
        <w:t>Accordingly, we find that interim or final market valuations [of remaining generation assets], to the extent they remain the Commission’s responsibility, will precede the end of the rate freeze. (</w:t>
      </w:r>
      <w:r>
        <w:rPr>
          <w:rFonts w:cs="Arial"/>
          <w:i/>
          <w:iCs/>
        </w:rPr>
        <w:t>Id.</w:t>
      </w:r>
      <w:r>
        <w:rPr>
          <w:rFonts w:cs="Arial"/>
        </w:rPr>
        <w:t xml:space="preserve"> p. 18)</w:t>
      </w:r>
    </w:p>
    <w:p>
      <w:pPr>
        <w:pStyle w:val="Body1"/>
        <w:rPr/>
      </w:pPr>
      <w:r>
        <w:rPr>
          <w:rFonts w:cs="Arial"/>
        </w:rPr>
        <w:t>To help calculate the end date as accurately as possible, in February 2000, the Commission ordered the utilities to estimate the market value of each remaining non-nuclear generating asset on an aggregate basis and credit those estimates against transition costs effective June 23, 2000.</w:t>
      </w:r>
      <w:r>
        <w:rPr>
          <w:rFonts w:cs="Arial"/>
          <w:b/>
          <w:bCs/>
          <w:position w:val="6"/>
        </w:rPr>
        <w:t>[</w:t>
      </w:r>
      <w:r>
        <w:rPr>
          <w:rStyle w:val="FootnoteCharacters"/>
          <w:rStyle w:val="FootnoteReference"/>
          <w:bCs/>
        </w:rPr>
        <w:footnoteReference w:id="5"/>
      </w:r>
      <w:r>
        <w:rPr>
          <w:b/>
          <w:bCs/>
          <w:position w:val="6"/>
        </w:rPr>
        <w:t>]</w:t>
      </w:r>
      <w:r>
        <w:rPr/>
        <w:t xml:space="preserve">  In August 2000, PG&amp;E made that market valuation and credited it to the TCBA.  The interim value of PG&amp;E’s generation assets, estimated at $2.8 billion, was sufficient to recover all PG&amp;E’s remaining transition costs, as outlined in Decision 99</w:t>
        <w:noBreakHyphen/>
        <w:t>10</w:t>
        <w:noBreakHyphen/>
        <w:t>057 and §§ 367, 368(a) and 376 of the Public Utilities Code.</w:t>
      </w:r>
    </w:p>
    <w:p>
      <w:pPr>
        <w:pStyle w:val="Body1"/>
        <w:rPr>
          <w:rFonts w:cs="Arial"/>
        </w:rPr>
      </w:pPr>
      <w:r>
        <w:rPr>
          <w:rFonts w:cs="Arial"/>
        </w:rPr>
        <w:t xml:space="preserve">While the estimated market valuation is subject to adjustment when pending market valuation proceedings are completed, the Commission did not require that final valuation be complete to end the rate freeze—only that estimated valuation be complete.  Furthermore, PG&amp;E has agreed that it will accept the interim value booked to the balancing account as the minimum value.  This interim value would not be lowered.  Thus although the final valuation may increase, that would only serve to make the end of the freeze date earlier than August 2000.  </w:t>
      </w:r>
    </w:p>
    <w:p>
      <w:pPr>
        <w:pStyle w:val="Body1"/>
        <w:rPr>
          <w:rFonts w:cs="Arial"/>
        </w:rPr>
      </w:pPr>
      <w:r>
        <w:rPr>
          <w:rFonts w:cs="Arial"/>
        </w:rPr>
        <w:t>Finally, although PG&amp;E had filed a settlement in Application 99</w:t>
        <w:noBreakHyphen/>
        <w:t>09</w:t>
        <w:noBreakHyphen/>
        <w:t>053, specifying that the final valuation of its hydroelectric facilities be credited to the TRA rather than to the TCBA, PG&amp;E withdrew that settlement on November 20.  In accordance with Decision 00-06-004, any final value would be entered into the Generation Asset Balancing Account and through that to the TCBA.  Per Decision 99</w:t>
        <w:noBreakHyphen/>
        <w:t>10</w:t>
        <w:noBreakHyphen/>
        <w:t>057, as cited above, PG&amp;E has determined that its transition period ended some time prior to August 31, 2000.</w:t>
      </w:r>
    </w:p>
    <w:p>
      <w:pPr>
        <w:pStyle w:val="Body1"/>
        <w:rPr>
          <w:rFonts w:cs="Arial"/>
        </w:rPr>
      </w:pPr>
      <w:r>
        <w:rPr>
          <w:rFonts w:cs="Arial"/>
        </w:rPr>
        <w:t>PG&amp;E chose an interim value of $2.8 billion for remaining generation assets based on analysis done to support the settlement referenced above.  However market prices for generation since June of this year indicate that the value probably is significantly higher.  Some analysts support a value of at least $4 billion.  This is one reason PG&amp;E withdrew its support of the settlement.  PG&amp;E will file additional testimony supporting a new market value of its hydroelectric generation facilities on December 5, 2000, as required by the Commission in Application 99</w:t>
        <w:noBreakHyphen/>
        <w:t>09</w:t>
        <w:noBreakHyphen/>
        <w:t>053.</w:t>
      </w:r>
    </w:p>
    <w:p>
      <w:pPr>
        <w:pStyle w:val="Body1"/>
        <w:rPr>
          <w:rFonts w:cs="Arial"/>
        </w:rPr>
      </w:pPr>
      <w:r>
        <w:rPr>
          <w:rFonts w:cs="Arial"/>
        </w:rPr>
        <w:t>With the interim valuation of the hydroelectric facilities, the recovery of PG&amp;E’s transition costs is complete.  Accordingly, PG&amp;E is filing Advice Letter 2057</w:t>
        <w:noBreakHyphen/>
        <w:t>E, proposing tariffs for new rates in compliance with Decisions 00</w:t>
        <w:noBreakHyphen/>
        <w:t>03</w:t>
        <w:noBreakHyphen/>
        <w:t>058, 00</w:t>
        <w:noBreakHyphen/>
        <w:t>06</w:t>
        <w:noBreakHyphen/>
        <w:t>034 and 99</w:t>
        <w:noBreakHyphen/>
        <w:t>10</w:t>
        <w:noBreakHyphen/>
        <w:t xml:space="preserve">057 in the Post-Transition Electric Ratemaking (PTER) proceeding.  Those tariffs do not include the rate stabilization plan proposed in this application but, rather, would immediately begin charging customers for the full cost of wholesale electricity in real time.  </w:t>
      </w:r>
    </w:p>
    <w:p>
      <w:pPr>
        <w:pStyle w:val="Body1"/>
        <w:rPr>
          <w:rFonts w:cs="Arial"/>
        </w:rPr>
      </w:pPr>
      <w:r>
        <w:rPr>
          <w:rFonts w:cs="Arial"/>
        </w:rPr>
        <w:t>PG&amp;E believes this rate stabilization plan is a better plan for customers and urges the Commission to adopt it.  However, the transition period is over and new rates need to be implemented to reflect the end of the freeze, whether or not they include a phasing in of power costs.</w:t>
      </w:r>
    </w:p>
    <w:p>
      <w:pPr>
        <w:pStyle w:val="Heading1"/>
        <w:ind w:firstLine="432" w:start="0"/>
        <w:rPr/>
      </w:pPr>
      <w:bookmarkStart w:id="7" w:name="__RefHeading___Toc499520072"/>
      <w:bookmarkEnd w:id="7"/>
      <w:r>
        <w:rPr/>
        <w:t>PG&amp;E’s Proposed Rate Stabilization Plan Will Protect Customers Against Wholesale Electric Price Volatility While Protecting PG&amp;E’s Financial Viability</w:t>
      </w:r>
    </w:p>
    <w:p>
      <w:pPr>
        <w:pStyle w:val="Body1"/>
        <w:rPr>
          <w:rFonts w:cs="Arial"/>
        </w:rPr>
      </w:pPr>
      <w:r>
        <w:rPr>
          <w:rFonts w:cs="Arial"/>
        </w:rPr>
        <w:t>In this application, PG&amp;E proposes several modifications to the post-transition period rate structure adopted in Decisions 00</w:t>
        <w:noBreakHyphen/>
        <w:t>03</w:t>
        <w:noBreakHyphen/>
        <w:t>058, 00</w:t>
        <w:noBreakHyphen/>
        <w:t>06</w:t>
        <w:noBreakHyphen/>
        <w:t>034 and 99</w:t>
        <w:noBreakHyphen/>
        <w:t>10</w:t>
        <w:noBreakHyphen/>
        <w:t>057, to help customers pay for the high cost of wholesale power.  Consistent with those decisions and with the rate structure adopted for San Diego Gas and Electric Company (SDG&amp;E) customers, the Commission already has determined that PG&amp;E’s post-freeze electric rates should be unbundled.  Components for distribution, transmission and other functions are to be set initially based on the latest authorized revenue requirement and should change independent of power cost changes, as federal or state proceedings determine new rate design or revenue requirements.</w:t>
      </w:r>
    </w:p>
    <w:p>
      <w:pPr>
        <w:pStyle w:val="Body1"/>
        <w:rPr>
          <w:rFonts w:cs="Arial"/>
        </w:rPr>
      </w:pPr>
      <w:r>
        <w:rPr>
          <w:rFonts w:cs="Arial"/>
        </w:rPr>
        <w:t>However, it is appropriate for PG&amp;E to moderate the impact of wholesale power costs on its customers.  Therefore, PG&amp;E is proposing a moderate but initially capped increase in the power cost component of rates, as well as an increase in the discount provided to low income customers.  These changes are described in more detail in Chapters 2 and 7.  The mechanisms to change this rate are also described in Chapter 3.</w:t>
      </w:r>
    </w:p>
    <w:p>
      <w:pPr>
        <w:pStyle w:val="Body1"/>
        <w:rPr>
          <w:rFonts w:cs="Arial"/>
        </w:rPr>
      </w:pPr>
      <w:r>
        <w:rPr>
          <w:rFonts w:cs="Arial"/>
        </w:rPr>
        <w:t>In addition, PG&amp;E proposes to recover power costs built up in the TRA over a five</w:t>
        <w:noBreakHyphen/>
        <w:t>year period, and to offset these costs with some of the revenues from its retained generation assets.  Once the transition period ended in August 2000 or earlier, these costs clearly became the responsibility of ratepayers, as provided under Decisions 99</w:t>
        <w:noBreakHyphen/>
        <w:t>10</w:t>
        <w:noBreakHyphen/>
        <w:t>057 and 00</w:t>
        <w:noBreakHyphen/>
        <w:t>06</w:t>
        <w:noBreakHyphen/>
        <w:t>034.  As explained below, PG&amp;E believes the law requires ratepayers to pay wholesale power costs incurred even before that date.  Therefore, PG&amp;E proposes that the uncollected costs of power at the time new rates are implemented be put into a new account, the Unrecovered Cost of Service Account (UCSA), and be recovered over a five</w:t>
        <w:noBreakHyphen/>
        <w:t>year period.</w:t>
      </w:r>
    </w:p>
    <w:p>
      <w:pPr>
        <w:pStyle w:val="Body1"/>
        <w:rPr>
          <w:rFonts w:cs="Arial"/>
        </w:rPr>
      </w:pPr>
      <w:r>
        <w:rPr>
          <w:rFonts w:cs="Arial"/>
        </w:rPr>
        <w:t xml:space="preserve">At the same time, PG&amp;E will credit certain generation revenues against these uncollected wholesale power costs.  Specifically, PG&amp;E will credit 50 percent of Diablo Canyon earnings above ICIP and 90 percent of hydroelectric revenues above a cost of service formula, based on a $2.8 billion minimum value and subject to later true-up for the authorized shareholder share of such market revenues.  As explained in more detail in Chapter 6, the Diablo Canyon earnings will be phased, so that ratepayers will receive 100 percent in the first two years of the RSP, when power costs are expected to be highest, and will be trued up over the last three years of the plan to an ultimate 50/50 share.  Revenues above cost-based prices for PG&amp;E’s Hunters Point Power Plant similarly will offset uncollected energy costs.  This mechanism is described more fully in Chapter 6. </w:t>
      </w:r>
    </w:p>
    <w:p>
      <w:pPr>
        <w:pStyle w:val="Body1"/>
        <w:rPr>
          <w:rFonts w:cs="Arial"/>
        </w:rPr>
      </w:pPr>
      <w:r>
        <w:rPr>
          <w:rFonts w:cs="Arial"/>
        </w:rPr>
        <w:t xml:space="preserve">Finally, as described in Chapter 6, PG&amp;E proposes that the Commission adopt a DRAM.  Similar to the ERAM formerly in effect for PG&amp;E, the DRAM will make revenues independent of sales volumes and remove thereby any disincentives for conservation efforts.  PG&amp;E recommends that the DRAM remain in place until a Performance Based Ratemaking plan is adopted for the Company.  </w:t>
      </w:r>
    </w:p>
    <w:p>
      <w:pPr>
        <w:pStyle w:val="Heading1"/>
        <w:ind w:firstLine="432" w:start="0"/>
        <w:rPr/>
      </w:pPr>
      <w:bookmarkStart w:id="8" w:name="__RefHeading___Toc499520073"/>
      <w:bookmarkEnd w:id="8"/>
      <w:r>
        <w:rPr/>
        <w:t>The Commission Must Act Immediately to Avert Financial Crisis</w:t>
      </w:r>
    </w:p>
    <w:p>
      <w:pPr>
        <w:pStyle w:val="Body1"/>
        <w:rPr/>
      </w:pPr>
      <w:r>
        <w:rPr/>
        <w:t xml:space="preserve">For the reasons outlined below and in the testimony in Chapters 3, 4 and 5, it is essential that the Commission act promptly to adopt PG&amp;E’s RSP, thus averting a financial crisis for PG&amp;E and avoiding the problems encountered by SDG&amp;E’s customers.  Current projections indicate continued high power prices, which will only worsen the TRA undercollection and PG&amp;E’s financial position.  Time is of the essence.  The CPUC must act quickly and decisively to assuage the concerns of the financial community and credit markets while ensuring a soft landing for the retail customers. </w:t>
      </w:r>
    </w:p>
    <w:p>
      <w:pPr>
        <w:pStyle w:val="Heading2"/>
        <w:ind w:hanging="288" w:start="720" w:end="0"/>
        <w:rPr/>
      </w:pPr>
      <w:bookmarkStart w:id="9" w:name="__RefHeading___Toc499520074"/>
      <w:bookmarkEnd w:id="9"/>
      <w:r>
        <w:rPr/>
        <w:t>Power Costs Are Accumulating in PG&amp;E’s TRA at an Unprecedented Rate</w:t>
      </w:r>
    </w:p>
    <w:p>
      <w:pPr>
        <w:pStyle w:val="Body2"/>
        <w:rPr/>
      </w:pPr>
      <w:r>
        <w:rPr/>
        <w:t>PG&amp;E’s wholesale power costs, incurred to provide electricity to its retail customers, have exceeded generation revenues by billions of dollars since June.  Although August set the record for high wholesale prices, wholesale power costs have exceeded the energy rate component of current rates for several months.  Since early summer, the wholesale energy price alone has exceeded PG&amp;E’s total system average electric retail rate of 9.4 cents kWh, which is designed to cover not only the cost of wholesale energy but also the cost of the distribution and transmission services as well as the cost of public purpose programs that PG&amp;E is required to fund from customer revenues.</w:t>
      </w:r>
      <w:r>
        <w:rPr>
          <w:b/>
          <w:bCs/>
          <w:color w:val="000000"/>
          <w:position w:val="6"/>
        </w:rPr>
        <w:t>[</w:t>
      </w:r>
      <w:r>
        <w:rPr>
          <w:rStyle w:val="FootnoteCharacters"/>
          <w:rStyle w:val="FootnoteReference"/>
          <w:rFonts w:cs="Arial"/>
          <w:bCs/>
        </w:rPr>
        <w:footnoteReference w:id="6"/>
      </w:r>
      <w:r>
        <w:rPr>
          <w:b/>
          <w:color w:val="000000"/>
          <w:position w:val="6"/>
        </w:rPr>
        <w:t>]</w:t>
      </w:r>
      <w:r>
        <w:rPr/>
        <w:t xml:space="preserve">  Put another way, for the period from June through October 2000, wholesale power costs exceeded PG&amp;E’s total billed electric revenues plus above-cost generation revenues by about $2.8 billion.</w:t>
      </w:r>
      <w:r>
        <w:rPr>
          <w:b/>
          <w:bCs/>
          <w:color w:val="000000"/>
          <w:position w:val="6"/>
        </w:rPr>
        <w:t>[</w:t>
      </w:r>
      <w:r>
        <w:rPr>
          <w:rStyle w:val="FootnoteCharacters"/>
          <w:rStyle w:val="FootnoteReference"/>
          <w:rFonts w:cs="Arial"/>
          <w:bCs/>
        </w:rPr>
        <w:footnoteReference w:id="7"/>
      </w:r>
      <w:r>
        <w:rPr>
          <w:b/>
          <w:color w:val="000000"/>
          <w:position w:val="6"/>
        </w:rPr>
        <w:t>]</w:t>
      </w:r>
    </w:p>
    <w:p>
      <w:pPr>
        <w:pStyle w:val="Body2"/>
        <w:rPr/>
      </w:pPr>
      <w:r>
        <w:rPr/>
        <w:t>PG&amp;E’s TRA undercollection at the end of October 2000 is $3.4 billion and unrecovered energy costs are the major component of this shortfall.  Figure 1.1 shows the month-by-month growth in the shortfall balance in the TRA.</w:t>
      </w:r>
      <w:r>
        <w:rPr>
          <w:b/>
          <w:bCs/>
          <w:color w:val="000000"/>
          <w:position w:val="6"/>
        </w:rPr>
        <w:t>[</w:t>
      </w:r>
      <w:r>
        <w:rPr>
          <w:rStyle w:val="FootnoteCharacters"/>
          <w:rStyle w:val="FootnoteReference"/>
          <w:rFonts w:cs="Arial"/>
          <w:bCs/>
        </w:rPr>
        <w:footnoteReference w:id="8"/>
      </w:r>
      <w:r>
        <w:rPr>
          <w:b/>
          <w:color w:val="000000"/>
          <w:position w:val="6"/>
        </w:rPr>
        <w:t>]</w:t>
      </w:r>
    </w:p>
    <w:p>
      <w:pPr>
        <w:pStyle w:val="Body2"/>
        <w:suppressLineNumbers/>
        <w:rPr>
          <w:b/>
          <w:color w:val="000000"/>
          <w:position w:val="6"/>
        </w:rPr>
      </w:pPr>
      <w:r>
        <w:rPr>
          <w:b/>
          <w:color w:val="000000"/>
          <w:position w:val="6"/>
        </w:rPr>
      </w:r>
    </w:p>
    <w:p>
      <w:pPr>
        <w:pStyle w:val="Normal"/>
        <w:suppressLineNumbers/>
        <w:spacing w:lineRule="auto" w:line="240"/>
        <w:rPr/>
      </w:pPr>
      <w:r>
        <w:rPr/>
        <w:object w:dxaOrig="7681" w:dyaOrig="5632">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415.95pt;height:285.8pt" filled="f" o:ole="">
            <v:imagedata r:id="rId8" o:title=""/>
          </v:shape>
          <o:OLEObject Type="Embed" ProgID="Excel.Sheet.12" ShapeID="ole_rId7" DrawAspect="Content" ObjectID="_107643513" r:id="rId7"/>
        </w:object>
      </w:r>
    </w:p>
    <w:p>
      <w:pPr>
        <w:pStyle w:val="Body0"/>
        <w:suppressLineNumbers/>
        <w:rPr/>
      </w:pPr>
      <w:r>
        <w:rPr/>
      </w:r>
    </w:p>
    <w:p>
      <w:pPr>
        <w:pStyle w:val="Body1"/>
        <w:rPr/>
      </w:pPr>
      <w:r>
        <w:rPr/>
        <w:t>To understand the magnitude of this undercollection, it is helpful to compare it to other utility statistics.  As shown in the table below, PG&amp;E’s TRA undercollection of $3.4 billion at the end of October is approximately equal to all PG&amp;E’s utility earnings from 1996 through September 2000.</w:t>
      </w:r>
    </w:p>
    <w:p>
      <w:pPr>
        <w:pStyle w:val="TableCaption"/>
        <w:suppressLineNumbers/>
        <w:rPr>
          <w:rFonts w:cs="Arial"/>
        </w:rPr>
      </w:pPr>
      <w:r>
        <w:rPr>
          <w:rFonts w:cs="Arial"/>
        </w:rPr>
        <w:t>Table 1-1</w:t>
        <w:br/>
        <w:t>PG&amp;E Utility Income Available for Common Stock</w:t>
        <w:br/>
        <w:t xml:space="preserve">$ millions </w:t>
      </w:r>
    </w:p>
    <w:tbl>
      <w:tblPr>
        <w:tblW w:w="8323" w:type="dxa"/>
        <w:jc w:val="center"/>
        <w:tblInd w:w="0" w:type="dxa"/>
        <w:tblLayout w:type="fixed"/>
        <w:tblCellMar>
          <w:top w:w="0" w:type="dxa"/>
          <w:start w:w="108" w:type="dxa"/>
          <w:bottom w:w="0" w:type="dxa"/>
          <w:end w:w="108" w:type="dxa"/>
        </w:tblCellMar>
      </w:tblPr>
      <w:tblGrid>
        <w:gridCol w:w="754"/>
        <w:gridCol w:w="2399"/>
        <w:gridCol w:w="980"/>
        <w:gridCol w:w="980"/>
        <w:gridCol w:w="980"/>
        <w:gridCol w:w="984"/>
        <w:gridCol w:w="1246"/>
      </w:tblGrid>
      <w:tr>
        <w:trPr/>
        <w:tc>
          <w:tcPr>
            <w:tcW w:w="754" w:type="dxa"/>
            <w:tcBorders/>
          </w:tcPr>
          <w:p>
            <w:pPr>
              <w:pStyle w:val="Table"/>
              <w:pBdr>
                <w:bottom w:val="single" w:sz="6" w:space="1" w:color="000000"/>
              </w:pBdr>
              <w:jc w:val="center"/>
              <w:rPr>
                <w:rFonts w:cs="Arial"/>
              </w:rPr>
            </w:pPr>
            <w:r>
              <w:rPr>
                <w:rFonts w:cs="Arial"/>
              </w:rPr>
              <w:br/>
              <w:t>Line</w:t>
              <w:br/>
              <w:t>No.</w:t>
            </w:r>
          </w:p>
        </w:tc>
        <w:tc>
          <w:tcPr>
            <w:tcW w:w="2399" w:type="dxa"/>
            <w:tcBorders/>
          </w:tcPr>
          <w:p>
            <w:pPr>
              <w:pStyle w:val="Table"/>
              <w:snapToGrid w:val="false"/>
              <w:jc w:val="center"/>
              <w:rPr>
                <w:rFonts w:cs="Arial"/>
              </w:rPr>
            </w:pPr>
            <w:r>
              <w:rPr>
                <w:rFonts w:cs="Arial"/>
              </w:rPr>
            </w:r>
          </w:p>
        </w:tc>
        <w:tc>
          <w:tcPr>
            <w:tcW w:w="980" w:type="dxa"/>
            <w:tcBorders/>
          </w:tcPr>
          <w:p>
            <w:pPr>
              <w:pStyle w:val="Table"/>
              <w:pBdr>
                <w:bottom w:val="single" w:sz="6" w:space="1" w:color="000000"/>
              </w:pBdr>
              <w:jc w:val="center"/>
              <w:rPr/>
            </w:pPr>
            <w:r>
              <w:rPr>
                <w:rFonts w:cs="Arial"/>
                <w:u w:val="single"/>
              </w:rPr>
              <w:br/>
              <w:br/>
            </w:r>
            <w:r>
              <w:rPr/>
              <w:t>1996</w:t>
            </w:r>
          </w:p>
        </w:tc>
        <w:tc>
          <w:tcPr>
            <w:tcW w:w="980" w:type="dxa"/>
            <w:tcBorders/>
          </w:tcPr>
          <w:p>
            <w:pPr>
              <w:pStyle w:val="Table"/>
              <w:pBdr>
                <w:bottom w:val="single" w:sz="6" w:space="1" w:color="000000"/>
              </w:pBdr>
              <w:jc w:val="center"/>
              <w:rPr/>
            </w:pPr>
            <w:r>
              <w:rPr>
                <w:rFonts w:cs="Arial"/>
                <w:u w:val="single"/>
              </w:rPr>
              <w:br/>
              <w:br/>
            </w:r>
            <w:r>
              <w:rPr/>
              <w:t>1997</w:t>
            </w:r>
          </w:p>
        </w:tc>
        <w:tc>
          <w:tcPr>
            <w:tcW w:w="980" w:type="dxa"/>
            <w:tcBorders/>
          </w:tcPr>
          <w:p>
            <w:pPr>
              <w:pStyle w:val="Table"/>
              <w:pBdr>
                <w:bottom w:val="single" w:sz="6" w:space="1" w:color="000000"/>
              </w:pBdr>
              <w:jc w:val="center"/>
              <w:rPr/>
            </w:pPr>
            <w:r>
              <w:rPr>
                <w:rFonts w:cs="Arial"/>
                <w:u w:val="single"/>
              </w:rPr>
              <w:br/>
              <w:br/>
            </w:r>
            <w:r>
              <w:rPr/>
              <w:t>1998</w:t>
            </w:r>
          </w:p>
        </w:tc>
        <w:tc>
          <w:tcPr>
            <w:tcW w:w="984" w:type="dxa"/>
            <w:tcBorders/>
          </w:tcPr>
          <w:p>
            <w:pPr>
              <w:pStyle w:val="Table"/>
              <w:pBdr>
                <w:bottom w:val="single" w:sz="6" w:space="1" w:color="000000"/>
              </w:pBdr>
              <w:jc w:val="center"/>
              <w:rPr/>
            </w:pPr>
            <w:r>
              <w:rPr>
                <w:rFonts w:cs="Arial"/>
                <w:u w:val="single"/>
              </w:rPr>
              <w:br/>
              <w:br/>
            </w:r>
            <w:r>
              <w:rPr/>
              <w:t>1999</w:t>
            </w:r>
          </w:p>
        </w:tc>
        <w:tc>
          <w:tcPr>
            <w:tcW w:w="1246" w:type="dxa"/>
            <w:tcBorders/>
          </w:tcPr>
          <w:p>
            <w:pPr>
              <w:pStyle w:val="Table"/>
              <w:pBdr>
                <w:bottom w:val="single" w:sz="6" w:space="1" w:color="000000"/>
              </w:pBdr>
              <w:jc w:val="center"/>
              <w:rPr>
                <w:rFonts w:cs="Arial"/>
              </w:rPr>
            </w:pPr>
            <w:r>
              <w:rPr>
                <w:rFonts w:cs="Arial"/>
              </w:rPr>
              <w:t>Third Quarter</w:t>
              <w:br/>
              <w:t>2000</w:t>
            </w:r>
          </w:p>
        </w:tc>
      </w:tr>
      <w:tr>
        <w:trPr/>
        <w:tc>
          <w:tcPr>
            <w:tcW w:w="754" w:type="dxa"/>
            <w:tcBorders/>
          </w:tcPr>
          <w:p>
            <w:pPr>
              <w:pStyle w:val="Table"/>
              <w:snapToGrid w:val="false"/>
              <w:jc w:val="center"/>
              <w:rPr>
                <w:rFonts w:ascii="Times New Roman" w:hAnsi="Times New Roman" w:cs="Arial"/>
                <w:color w:val="000000"/>
                <w:sz w:val="20"/>
              </w:rPr>
            </w:pPr>
            <w:r>
              <w:rPr>
                <w:rFonts w:cs="Arial" w:ascii="Times New Roman" w:hAnsi="Times New Roman"/>
                <w:color w:val="000000"/>
                <w:sz w:val="20"/>
              </w:rPr>
            </w:r>
          </w:p>
        </w:tc>
        <w:tc>
          <w:tcPr>
            <w:tcW w:w="2399" w:type="dxa"/>
            <w:tcBorders/>
          </w:tcPr>
          <w:p>
            <w:pPr>
              <w:pStyle w:val="Table"/>
              <w:snapToGrid w:val="false"/>
              <w:rPr>
                <w:rFonts w:cs="Arial"/>
              </w:rPr>
            </w:pPr>
            <w:r>
              <w:rPr>
                <w:rFonts w:cs="Arial"/>
              </w:rPr>
            </w:r>
          </w:p>
        </w:tc>
        <w:tc>
          <w:tcPr>
            <w:tcW w:w="980" w:type="dxa"/>
            <w:tcBorders/>
          </w:tcPr>
          <w:p>
            <w:pPr>
              <w:pStyle w:val="Table"/>
              <w:snapToGrid w:val="false"/>
              <w:rPr>
                <w:rFonts w:cs="Arial"/>
              </w:rPr>
            </w:pPr>
            <w:r>
              <w:rPr>
                <w:rFonts w:cs="Arial"/>
              </w:rPr>
            </w:r>
          </w:p>
        </w:tc>
        <w:tc>
          <w:tcPr>
            <w:tcW w:w="980" w:type="dxa"/>
            <w:tcBorders/>
          </w:tcPr>
          <w:p>
            <w:pPr>
              <w:pStyle w:val="Table"/>
              <w:snapToGrid w:val="false"/>
              <w:rPr>
                <w:rFonts w:cs="Arial"/>
              </w:rPr>
            </w:pPr>
            <w:r>
              <w:rPr>
                <w:rFonts w:cs="Arial"/>
              </w:rPr>
            </w:r>
          </w:p>
        </w:tc>
        <w:tc>
          <w:tcPr>
            <w:tcW w:w="980" w:type="dxa"/>
            <w:tcBorders/>
          </w:tcPr>
          <w:p>
            <w:pPr>
              <w:pStyle w:val="Table"/>
              <w:snapToGrid w:val="false"/>
              <w:rPr>
                <w:rFonts w:cs="Arial"/>
              </w:rPr>
            </w:pPr>
            <w:r>
              <w:rPr>
                <w:rFonts w:cs="Arial"/>
              </w:rPr>
            </w:r>
          </w:p>
        </w:tc>
        <w:tc>
          <w:tcPr>
            <w:tcW w:w="984" w:type="dxa"/>
            <w:tcBorders/>
          </w:tcPr>
          <w:p>
            <w:pPr>
              <w:pStyle w:val="Table"/>
              <w:snapToGrid w:val="false"/>
              <w:rPr>
                <w:rFonts w:cs="Arial"/>
              </w:rPr>
            </w:pPr>
            <w:r>
              <w:rPr>
                <w:rFonts w:cs="Arial"/>
              </w:rPr>
            </w:r>
          </w:p>
        </w:tc>
        <w:tc>
          <w:tcPr>
            <w:tcW w:w="1246" w:type="dxa"/>
            <w:tcBorders/>
          </w:tcPr>
          <w:p>
            <w:pPr>
              <w:pStyle w:val="Table"/>
              <w:snapToGrid w:val="false"/>
              <w:rPr>
                <w:rFonts w:cs="Arial"/>
              </w:rPr>
            </w:pPr>
            <w:r>
              <w:rPr>
                <w:rFonts w:cs="Arial"/>
              </w:rPr>
            </w:r>
          </w:p>
        </w:tc>
      </w:tr>
      <w:tr>
        <w:trPr/>
        <w:tc>
          <w:tcPr>
            <w:tcW w:w="754" w:type="dxa"/>
            <w:tcBorders/>
          </w:tcPr>
          <w:p>
            <w:pPr>
              <w:pStyle w:val="Table"/>
              <w:jc w:val="center"/>
              <w:rPr>
                <w:rFonts w:cs="Arial"/>
              </w:rPr>
            </w:pPr>
            <w:r>
              <w:rPr>
                <w:rFonts w:cs="Arial"/>
              </w:rPr>
              <w:t>1</w:t>
            </w:r>
          </w:p>
        </w:tc>
        <w:tc>
          <w:tcPr>
            <w:tcW w:w="2399" w:type="dxa"/>
            <w:tcBorders/>
          </w:tcPr>
          <w:p>
            <w:pPr>
              <w:pStyle w:val="Table"/>
              <w:rPr>
                <w:rFonts w:cs="Arial"/>
              </w:rPr>
            </w:pPr>
            <w:r>
              <w:rPr>
                <w:rFonts w:cs="Arial"/>
              </w:rPr>
              <w:t>Annual/year to date</w:t>
            </w:r>
          </w:p>
        </w:tc>
        <w:tc>
          <w:tcPr>
            <w:tcW w:w="980" w:type="dxa"/>
            <w:tcBorders/>
          </w:tcPr>
          <w:p>
            <w:pPr>
              <w:pStyle w:val="Table"/>
              <w:tabs>
                <w:tab w:val="clear" w:pos="720"/>
                <w:tab w:val="decimal" w:pos="541" w:leader="none"/>
              </w:tabs>
              <w:rPr>
                <w:rFonts w:cs="Arial"/>
              </w:rPr>
            </w:pPr>
            <w:r>
              <w:rPr>
                <w:rFonts w:cs="Arial"/>
              </w:rPr>
              <w:t>722</w:t>
            </w:r>
          </w:p>
        </w:tc>
        <w:tc>
          <w:tcPr>
            <w:tcW w:w="980" w:type="dxa"/>
            <w:tcBorders/>
          </w:tcPr>
          <w:p>
            <w:pPr>
              <w:pStyle w:val="Table"/>
              <w:tabs>
                <w:tab w:val="clear" w:pos="720"/>
                <w:tab w:val="decimal" w:pos="641" w:leader="none"/>
              </w:tabs>
              <w:rPr>
                <w:rFonts w:cs="Arial"/>
              </w:rPr>
            </w:pPr>
            <w:r>
              <w:rPr>
                <w:rFonts w:cs="Arial"/>
              </w:rPr>
              <w:t>735</w:t>
            </w:r>
          </w:p>
        </w:tc>
        <w:tc>
          <w:tcPr>
            <w:tcW w:w="980" w:type="dxa"/>
            <w:tcBorders/>
          </w:tcPr>
          <w:p>
            <w:pPr>
              <w:pStyle w:val="Table"/>
              <w:tabs>
                <w:tab w:val="clear" w:pos="720"/>
                <w:tab w:val="decimal" w:pos="641" w:leader="none"/>
              </w:tabs>
              <w:rPr>
                <w:rFonts w:cs="Arial"/>
              </w:rPr>
            </w:pPr>
            <w:r>
              <w:rPr>
                <w:rFonts w:cs="Arial"/>
              </w:rPr>
              <w:t>702</w:t>
            </w:r>
          </w:p>
        </w:tc>
        <w:tc>
          <w:tcPr>
            <w:tcW w:w="984" w:type="dxa"/>
            <w:tcBorders/>
          </w:tcPr>
          <w:p>
            <w:pPr>
              <w:pStyle w:val="Table"/>
              <w:tabs>
                <w:tab w:val="clear" w:pos="720"/>
                <w:tab w:val="decimal" w:pos="641" w:leader="none"/>
              </w:tabs>
              <w:rPr>
                <w:rFonts w:cs="Arial"/>
              </w:rPr>
            </w:pPr>
            <w:r>
              <w:rPr>
                <w:rFonts w:cs="Arial"/>
              </w:rPr>
              <w:t>763</w:t>
            </w:r>
          </w:p>
        </w:tc>
        <w:tc>
          <w:tcPr>
            <w:tcW w:w="1246" w:type="dxa"/>
            <w:tcBorders/>
          </w:tcPr>
          <w:p>
            <w:pPr>
              <w:pStyle w:val="Table"/>
              <w:tabs>
                <w:tab w:val="clear" w:pos="720"/>
                <w:tab w:val="decimal" w:pos="757" w:leader="none"/>
              </w:tabs>
              <w:rPr>
                <w:rFonts w:cs="Arial"/>
              </w:rPr>
            </w:pPr>
            <w:r>
              <w:rPr>
                <w:rFonts w:cs="Arial"/>
              </w:rPr>
              <w:t>655</w:t>
            </w:r>
          </w:p>
        </w:tc>
      </w:tr>
      <w:tr>
        <w:trPr/>
        <w:tc>
          <w:tcPr>
            <w:tcW w:w="754" w:type="dxa"/>
            <w:tcBorders/>
          </w:tcPr>
          <w:p>
            <w:pPr>
              <w:pStyle w:val="Table"/>
              <w:jc w:val="center"/>
              <w:rPr>
                <w:rFonts w:cs="Arial"/>
              </w:rPr>
            </w:pPr>
            <w:r>
              <w:rPr>
                <w:rFonts w:cs="Arial"/>
              </w:rPr>
              <w:t>2</w:t>
            </w:r>
          </w:p>
        </w:tc>
        <w:tc>
          <w:tcPr>
            <w:tcW w:w="2399" w:type="dxa"/>
            <w:tcBorders/>
          </w:tcPr>
          <w:p>
            <w:pPr>
              <w:pStyle w:val="Table"/>
              <w:rPr>
                <w:rFonts w:cs="Arial"/>
              </w:rPr>
            </w:pPr>
            <w:r>
              <w:rPr>
                <w:rFonts w:cs="Arial"/>
              </w:rPr>
              <w:t>Cumulative</w:t>
            </w:r>
          </w:p>
        </w:tc>
        <w:tc>
          <w:tcPr>
            <w:tcW w:w="980" w:type="dxa"/>
            <w:tcBorders/>
          </w:tcPr>
          <w:p>
            <w:pPr>
              <w:pStyle w:val="Table"/>
              <w:tabs>
                <w:tab w:val="clear" w:pos="720"/>
                <w:tab w:val="decimal" w:pos="541" w:leader="none"/>
              </w:tabs>
              <w:rPr>
                <w:rFonts w:cs="Arial"/>
              </w:rPr>
            </w:pPr>
            <w:r>
              <w:rPr>
                <w:rFonts w:cs="Arial"/>
              </w:rPr>
              <w:t>722</w:t>
            </w:r>
          </w:p>
        </w:tc>
        <w:tc>
          <w:tcPr>
            <w:tcW w:w="980" w:type="dxa"/>
            <w:tcBorders/>
          </w:tcPr>
          <w:p>
            <w:pPr>
              <w:pStyle w:val="Table"/>
              <w:tabs>
                <w:tab w:val="clear" w:pos="720"/>
                <w:tab w:val="decimal" w:pos="641" w:leader="none"/>
              </w:tabs>
              <w:rPr>
                <w:rFonts w:cs="Arial"/>
              </w:rPr>
            </w:pPr>
            <w:r>
              <w:rPr>
                <w:rFonts w:cs="Arial"/>
              </w:rPr>
              <w:t>1,457</w:t>
            </w:r>
          </w:p>
        </w:tc>
        <w:tc>
          <w:tcPr>
            <w:tcW w:w="980" w:type="dxa"/>
            <w:tcBorders/>
          </w:tcPr>
          <w:p>
            <w:pPr>
              <w:pStyle w:val="Table"/>
              <w:tabs>
                <w:tab w:val="clear" w:pos="720"/>
                <w:tab w:val="decimal" w:pos="641" w:leader="none"/>
              </w:tabs>
              <w:rPr>
                <w:rFonts w:cs="Arial"/>
              </w:rPr>
            </w:pPr>
            <w:r>
              <w:rPr>
                <w:rFonts w:cs="Arial"/>
              </w:rPr>
              <w:t>2,159</w:t>
            </w:r>
          </w:p>
        </w:tc>
        <w:tc>
          <w:tcPr>
            <w:tcW w:w="984" w:type="dxa"/>
            <w:tcBorders/>
          </w:tcPr>
          <w:p>
            <w:pPr>
              <w:pStyle w:val="Table"/>
              <w:tabs>
                <w:tab w:val="clear" w:pos="720"/>
                <w:tab w:val="decimal" w:pos="641" w:leader="none"/>
              </w:tabs>
              <w:rPr>
                <w:rFonts w:cs="Arial"/>
              </w:rPr>
            </w:pPr>
            <w:r>
              <w:rPr>
                <w:rFonts w:cs="Arial"/>
              </w:rPr>
              <w:t>2,922</w:t>
            </w:r>
          </w:p>
        </w:tc>
        <w:tc>
          <w:tcPr>
            <w:tcW w:w="1246" w:type="dxa"/>
            <w:tcBorders/>
          </w:tcPr>
          <w:p>
            <w:pPr>
              <w:pStyle w:val="Table"/>
              <w:tabs>
                <w:tab w:val="clear" w:pos="720"/>
                <w:tab w:val="decimal" w:pos="757" w:leader="none"/>
              </w:tabs>
              <w:rPr>
                <w:rFonts w:cs="Arial"/>
              </w:rPr>
            </w:pPr>
            <w:r>
              <w:rPr>
                <w:rFonts w:cs="Arial"/>
              </w:rPr>
              <w:t>3,577</w:t>
            </w:r>
          </w:p>
        </w:tc>
      </w:tr>
      <w:tr>
        <w:trPr/>
        <w:tc>
          <w:tcPr>
            <w:tcW w:w="754" w:type="dxa"/>
            <w:tcBorders/>
          </w:tcPr>
          <w:p>
            <w:pPr>
              <w:pStyle w:val="Table"/>
              <w:jc w:val="center"/>
              <w:rPr>
                <w:rFonts w:cs="Arial"/>
              </w:rPr>
            </w:pPr>
            <w:r>
              <w:rPr>
                <w:rFonts w:cs="Arial"/>
              </w:rPr>
              <w:t>3</w:t>
            </w:r>
          </w:p>
        </w:tc>
        <w:tc>
          <w:tcPr>
            <w:tcW w:w="2399" w:type="dxa"/>
            <w:tcBorders/>
          </w:tcPr>
          <w:p>
            <w:pPr>
              <w:pStyle w:val="Table"/>
              <w:rPr>
                <w:rFonts w:cs="Arial"/>
              </w:rPr>
            </w:pPr>
            <w:r>
              <w:rPr>
                <w:rFonts w:cs="Arial"/>
              </w:rPr>
              <w:t>TRA undercollection as of October 31, 2000</w:t>
            </w:r>
          </w:p>
        </w:tc>
        <w:tc>
          <w:tcPr>
            <w:tcW w:w="980" w:type="dxa"/>
            <w:tcBorders/>
          </w:tcPr>
          <w:p>
            <w:pPr>
              <w:pStyle w:val="Table"/>
              <w:tabs>
                <w:tab w:val="clear" w:pos="720"/>
                <w:tab w:val="decimal" w:pos="541" w:leader="none"/>
              </w:tabs>
              <w:snapToGrid w:val="false"/>
              <w:rPr>
                <w:rFonts w:cs="Arial"/>
              </w:rPr>
            </w:pPr>
            <w:r>
              <w:rPr>
                <w:rFonts w:cs="Arial"/>
              </w:rPr>
            </w:r>
          </w:p>
        </w:tc>
        <w:tc>
          <w:tcPr>
            <w:tcW w:w="980" w:type="dxa"/>
            <w:tcBorders/>
          </w:tcPr>
          <w:p>
            <w:pPr>
              <w:pStyle w:val="Table"/>
              <w:tabs>
                <w:tab w:val="clear" w:pos="720"/>
                <w:tab w:val="decimal" w:pos="641" w:leader="none"/>
              </w:tabs>
              <w:snapToGrid w:val="false"/>
              <w:rPr>
                <w:rFonts w:cs="Arial"/>
              </w:rPr>
            </w:pPr>
            <w:r>
              <w:rPr>
                <w:rFonts w:cs="Arial"/>
              </w:rPr>
            </w:r>
          </w:p>
        </w:tc>
        <w:tc>
          <w:tcPr>
            <w:tcW w:w="980" w:type="dxa"/>
            <w:tcBorders/>
          </w:tcPr>
          <w:p>
            <w:pPr>
              <w:pStyle w:val="Table"/>
              <w:snapToGrid w:val="false"/>
              <w:rPr>
                <w:rFonts w:cs="Arial"/>
              </w:rPr>
            </w:pPr>
            <w:r>
              <w:rPr>
                <w:rFonts w:cs="Arial"/>
              </w:rPr>
            </w:r>
          </w:p>
        </w:tc>
        <w:tc>
          <w:tcPr>
            <w:tcW w:w="984" w:type="dxa"/>
            <w:tcBorders/>
          </w:tcPr>
          <w:p>
            <w:pPr>
              <w:pStyle w:val="Table"/>
              <w:tabs>
                <w:tab w:val="clear" w:pos="720"/>
                <w:tab w:val="decimal" w:pos="641" w:leader="none"/>
              </w:tabs>
              <w:snapToGrid w:val="false"/>
              <w:rPr>
                <w:rFonts w:cs="Arial"/>
              </w:rPr>
            </w:pPr>
            <w:r>
              <w:rPr>
                <w:rFonts w:cs="Arial"/>
              </w:rPr>
            </w:r>
          </w:p>
        </w:tc>
        <w:tc>
          <w:tcPr>
            <w:tcW w:w="1246" w:type="dxa"/>
            <w:tcBorders/>
          </w:tcPr>
          <w:p>
            <w:pPr>
              <w:pStyle w:val="Table"/>
              <w:tabs>
                <w:tab w:val="clear" w:pos="720"/>
                <w:tab w:val="decimal" w:pos="757" w:leader="none"/>
              </w:tabs>
              <w:rPr>
                <w:rFonts w:cs="Arial"/>
              </w:rPr>
            </w:pPr>
            <w:r>
              <w:rPr>
                <w:rFonts w:cs="Arial"/>
              </w:rPr>
              <w:t>3,500</w:t>
            </w:r>
          </w:p>
        </w:tc>
      </w:tr>
      <w:tr>
        <w:trPr/>
        <w:tc>
          <w:tcPr>
            <w:tcW w:w="754" w:type="dxa"/>
            <w:tcBorders/>
          </w:tcPr>
          <w:p>
            <w:pPr>
              <w:pStyle w:val="Table-LastRow"/>
              <w:snapToGrid w:val="false"/>
              <w:spacing w:before="120" w:after="0"/>
              <w:rPr>
                <w:rFonts w:ascii="Times New Roman" w:hAnsi="Times New Roman" w:cs="Times New Roman"/>
                <w:color w:val="000000"/>
                <w:sz w:val="20"/>
              </w:rPr>
            </w:pPr>
            <w:r>
              <w:rPr>
                <w:rFonts w:cs="Times New Roman" w:ascii="Times New Roman" w:hAnsi="Times New Roman"/>
                <w:color w:val="000000"/>
                <w:sz w:val="20"/>
              </w:rPr>
            </w:r>
          </w:p>
        </w:tc>
        <w:tc>
          <w:tcPr>
            <w:tcW w:w="2399" w:type="dxa"/>
            <w:tcBorders/>
          </w:tcPr>
          <w:p>
            <w:pPr>
              <w:pStyle w:val="Table-LastRow"/>
              <w:snapToGrid w:val="false"/>
              <w:spacing w:before="120" w:after="0"/>
              <w:rPr/>
            </w:pPr>
            <w:r>
              <w:rPr/>
            </w:r>
          </w:p>
        </w:tc>
        <w:tc>
          <w:tcPr>
            <w:tcW w:w="980" w:type="dxa"/>
            <w:tcBorders/>
          </w:tcPr>
          <w:p>
            <w:pPr>
              <w:pStyle w:val="Table-LastRow"/>
              <w:snapToGrid w:val="false"/>
              <w:spacing w:before="120" w:after="0"/>
              <w:rPr>
                <w:rFonts w:cs="Arial"/>
              </w:rPr>
            </w:pPr>
            <w:r>
              <w:rPr>
                <w:rFonts w:cs="Arial"/>
              </w:rPr>
            </w:r>
          </w:p>
        </w:tc>
        <w:tc>
          <w:tcPr>
            <w:tcW w:w="980" w:type="dxa"/>
            <w:tcBorders/>
          </w:tcPr>
          <w:p>
            <w:pPr>
              <w:pStyle w:val="Table-LastRow"/>
              <w:snapToGrid w:val="false"/>
              <w:spacing w:before="120" w:after="0"/>
              <w:rPr>
                <w:rFonts w:cs="Arial"/>
              </w:rPr>
            </w:pPr>
            <w:r>
              <w:rPr>
                <w:rFonts w:cs="Arial"/>
              </w:rPr>
            </w:r>
          </w:p>
        </w:tc>
        <w:tc>
          <w:tcPr>
            <w:tcW w:w="980" w:type="dxa"/>
            <w:tcBorders/>
          </w:tcPr>
          <w:p>
            <w:pPr>
              <w:pStyle w:val="Table-LastRow"/>
              <w:snapToGrid w:val="false"/>
              <w:spacing w:before="120" w:after="0"/>
              <w:rPr>
                <w:rFonts w:cs="Arial"/>
              </w:rPr>
            </w:pPr>
            <w:r>
              <w:rPr>
                <w:rFonts w:cs="Arial"/>
              </w:rPr>
            </w:r>
          </w:p>
        </w:tc>
        <w:tc>
          <w:tcPr>
            <w:tcW w:w="984" w:type="dxa"/>
            <w:tcBorders/>
          </w:tcPr>
          <w:p>
            <w:pPr>
              <w:pStyle w:val="Table-LastRow"/>
              <w:snapToGrid w:val="false"/>
              <w:spacing w:before="120" w:after="0"/>
              <w:rPr>
                <w:rFonts w:cs="Arial"/>
              </w:rPr>
            </w:pPr>
            <w:r>
              <w:rPr>
                <w:rFonts w:cs="Arial"/>
              </w:rPr>
            </w:r>
          </w:p>
        </w:tc>
        <w:tc>
          <w:tcPr>
            <w:tcW w:w="1246" w:type="dxa"/>
            <w:tcBorders/>
          </w:tcPr>
          <w:p>
            <w:pPr>
              <w:pStyle w:val="Table-LastRow"/>
              <w:snapToGrid w:val="false"/>
              <w:spacing w:before="120" w:after="0"/>
              <w:rPr>
                <w:rFonts w:cs="Arial"/>
              </w:rPr>
            </w:pPr>
            <w:r>
              <w:rPr>
                <w:rFonts w:cs="Arial"/>
              </w:rPr>
            </w:r>
          </w:p>
        </w:tc>
      </w:tr>
    </w:tbl>
    <w:p>
      <w:pPr>
        <w:pStyle w:val="Heading2"/>
        <w:ind w:firstLine="432" w:start="0"/>
        <w:rPr/>
      </w:pPr>
      <w:bookmarkStart w:id="10" w:name="__RefHeading___Toc499520075"/>
      <w:bookmarkEnd w:id="10"/>
      <w:r>
        <w:rPr/>
        <w:t>The Accumulation of Ever-Growing Amounts for Future Recovery Creates an Increasing Burden on Regulators, Ratepayers, and Utilities</w:t>
      </w:r>
    </w:p>
    <w:p>
      <w:pPr>
        <w:pStyle w:val="Body2"/>
        <w:rPr/>
      </w:pPr>
      <w:r>
        <w:rPr/>
        <w:t xml:space="preserve">The accumulation of dollars makes it ever more difficult to find an equitable solution for the problem.  The longer the shortfall accumulates and the larger the uncollected balance, the more difficult it becomes to move into a rate structure that reflects costs.  Rates must not only reflect a realistic estimate of the current cost of wholesale power, but they must include a component to recover past shortfalls over a reasonable time.  </w:t>
      </w:r>
    </w:p>
    <w:p>
      <w:pPr>
        <w:pStyle w:val="Body2"/>
        <w:rPr/>
      </w:pPr>
      <w:r>
        <w:rPr/>
        <w:t>PG&amp;E cannot finance the undercollection indefinitely.  There must come a time when all costs are current and PG&amp;E is no longer the banker for these energy costs.  PG&amp;E’s RSP provides for a recovery of on-going energy costs and the amortization of the accumulated balance in a way that will mitigate the hardship to ratepayers, while allowing recovery of the costs in a way that will satisfy PG&amp;E’s creditors.</w:t>
      </w:r>
    </w:p>
    <w:p>
      <w:pPr>
        <w:pStyle w:val="Body2"/>
        <w:rPr/>
      </w:pPr>
      <w:r>
        <w:rPr/>
        <w:t xml:space="preserve">From a cash flow perspective, capital markets require the regulatory assurance that California utilities will be able to collect the wholesale energy costs from customers to avoid negative impacts on the credit-worthiness of the utility.  Creditors and rating agencies seek a mechanism that is dynamic and automatically responds to changes in wholesale power prices.  These realities are explained in more detail in Chapters 3, 4 and 5.  PG&amp;E has proposed a mechanism that meets those requirements while respecting the needs of ratepayers.  </w:t>
      </w:r>
    </w:p>
    <w:p>
      <w:pPr>
        <w:pStyle w:val="Heading2"/>
        <w:ind w:firstLine="432" w:start="0"/>
        <w:rPr/>
      </w:pPr>
      <w:bookmarkStart w:id="11" w:name="__RefHeading___Toc499520076"/>
      <w:bookmarkEnd w:id="11"/>
      <w:r>
        <w:rPr/>
        <w:t>PG&amp;E Does Not Have “Other Revenues” to Offset Wholesale Power Costs</w:t>
      </w:r>
    </w:p>
    <w:p>
      <w:pPr>
        <w:pStyle w:val="Body2"/>
        <w:rPr/>
      </w:pPr>
      <w:r>
        <w:rPr/>
        <w:t>Some parties have suggested that there may be other revenues, such as generation revenues above cost-based prices which PG&amp;E has received from retained generating facilities, or even “enormous profits” which would be sufficient to “net out” the undercollection in the TRA.</w:t>
      </w:r>
      <w:r>
        <w:rPr>
          <w:b/>
          <w:bCs/>
          <w:color w:val="000000"/>
          <w:position w:val="6"/>
        </w:rPr>
        <w:t>[</w:t>
      </w:r>
      <w:r>
        <w:rPr>
          <w:rStyle w:val="FootnoteCharacters"/>
          <w:rStyle w:val="FootnoteReference"/>
          <w:rFonts w:cs="Arial"/>
          <w:bCs/>
        </w:rPr>
        <w:footnoteReference w:id="9"/>
      </w:r>
      <w:r>
        <w:rPr>
          <w:b/>
          <w:color w:val="000000"/>
          <w:position w:val="6"/>
        </w:rPr>
        <w:t>]</w:t>
      </w:r>
      <w:r>
        <w:rPr/>
        <w:t xml:space="preserve">  This is simply not the case.  </w:t>
      </w:r>
    </w:p>
    <w:p>
      <w:pPr>
        <w:pStyle w:val="Body2"/>
        <w:rPr/>
      </w:pPr>
      <w:r>
        <w:rPr/>
        <w:t>The PG&amp;E utility return on equity (ROE) over the last five years is less than the return authorized by the CPUC and FERC for distribution and transmission facilities.  The following table shows actual electric utility ROE compared to CPUC-authorized ROE.</w:t>
      </w:r>
      <w:r>
        <w:rPr>
          <w:b/>
          <w:bCs/>
          <w:position w:val="6"/>
        </w:rPr>
        <w:t>[</w:t>
      </w:r>
      <w:r>
        <w:rPr>
          <w:rStyle w:val="FootnoteCharacters"/>
          <w:rStyle w:val="FootnoteReference"/>
          <w:rFonts w:cs="Arial"/>
          <w:bCs/>
        </w:rPr>
        <w:footnoteReference w:id="10"/>
      </w:r>
      <w:r>
        <w:rPr>
          <w:b/>
          <w:bCs/>
          <w:position w:val="6"/>
        </w:rPr>
        <w:t>]</w:t>
      </w:r>
    </w:p>
    <w:p>
      <w:pPr>
        <w:pStyle w:val="TableCaption"/>
        <w:rPr/>
      </w:pPr>
      <w:r>
        <w:rPr/>
        <w:t>Table 1-2</w:t>
        <w:br/>
        <w:t>PG&amp;E Utility ROE</w:t>
        <w:br/>
        <w:t>(Including Diablo Canyon Earnings)</w:t>
      </w:r>
    </w:p>
    <w:tbl>
      <w:tblPr>
        <w:tblW w:w="5199" w:type="dxa"/>
        <w:jc w:val="start"/>
        <w:tblInd w:w="2268" w:type="dxa"/>
        <w:tblLayout w:type="fixed"/>
        <w:tblCellMar>
          <w:top w:w="0" w:type="dxa"/>
          <w:start w:w="108" w:type="dxa"/>
          <w:bottom w:w="0" w:type="dxa"/>
          <w:end w:w="108" w:type="dxa"/>
        </w:tblCellMar>
      </w:tblPr>
      <w:tblGrid>
        <w:gridCol w:w="879"/>
        <w:gridCol w:w="879"/>
        <w:gridCol w:w="1641"/>
        <w:gridCol w:w="1800"/>
      </w:tblGrid>
      <w:tr>
        <w:trPr/>
        <w:tc>
          <w:tcPr>
            <w:tcW w:w="879" w:type="dxa"/>
            <w:tcBorders/>
          </w:tcPr>
          <w:p>
            <w:pPr>
              <w:pStyle w:val="Table"/>
              <w:pBdr>
                <w:bottom w:val="single" w:sz="6" w:space="1" w:color="000000"/>
              </w:pBdr>
              <w:jc w:val="center"/>
              <w:rPr>
                <w:rFonts w:cs="Arial"/>
              </w:rPr>
            </w:pPr>
            <w:r>
              <w:rPr>
                <w:rFonts w:cs="Arial"/>
              </w:rPr>
              <w:t>Line</w:t>
              <w:br/>
              <w:t>No.</w:t>
            </w:r>
          </w:p>
        </w:tc>
        <w:tc>
          <w:tcPr>
            <w:tcW w:w="879" w:type="dxa"/>
            <w:tcBorders/>
          </w:tcPr>
          <w:p>
            <w:pPr>
              <w:pStyle w:val="Table"/>
              <w:pBdr>
                <w:bottom w:val="single" w:sz="6" w:space="1" w:color="000000"/>
              </w:pBdr>
              <w:jc w:val="center"/>
              <w:rPr>
                <w:rFonts w:cs="Arial"/>
              </w:rPr>
            </w:pPr>
            <w:r>
              <w:rPr>
                <w:rFonts w:cs="Arial"/>
              </w:rPr>
              <w:br/>
              <w:t>Year</w:t>
            </w:r>
          </w:p>
        </w:tc>
        <w:tc>
          <w:tcPr>
            <w:tcW w:w="1641" w:type="dxa"/>
            <w:tcBorders/>
          </w:tcPr>
          <w:p>
            <w:pPr>
              <w:pStyle w:val="Table"/>
              <w:pBdr>
                <w:bottom w:val="single" w:sz="6" w:space="1" w:color="000000"/>
              </w:pBdr>
              <w:jc w:val="center"/>
              <w:rPr>
                <w:rFonts w:cs="Arial"/>
              </w:rPr>
            </w:pPr>
            <w:r>
              <w:rPr>
                <w:rFonts w:cs="Arial"/>
              </w:rPr>
              <w:br/>
              <w:t>Recorded ROE</w:t>
            </w:r>
          </w:p>
        </w:tc>
        <w:tc>
          <w:tcPr>
            <w:tcW w:w="1800" w:type="dxa"/>
            <w:tcBorders/>
          </w:tcPr>
          <w:p>
            <w:pPr>
              <w:pStyle w:val="Table"/>
              <w:pBdr>
                <w:bottom w:val="single" w:sz="6" w:space="1" w:color="000000"/>
              </w:pBdr>
              <w:jc w:val="center"/>
              <w:rPr>
                <w:rFonts w:cs="Arial"/>
              </w:rPr>
            </w:pPr>
            <w:r>
              <w:rPr>
                <w:rFonts w:cs="Arial"/>
              </w:rPr>
              <w:t>CPUC-Authorized ROE</w:t>
            </w:r>
          </w:p>
        </w:tc>
      </w:tr>
      <w:tr>
        <w:trPr/>
        <w:tc>
          <w:tcPr>
            <w:tcW w:w="879" w:type="dxa"/>
            <w:tcBorders/>
            <w:shd w:fill="FFFFFF" w:val="clear"/>
          </w:tcPr>
          <w:p>
            <w:pPr>
              <w:pStyle w:val="Table-FirstRow"/>
              <w:spacing w:before="120" w:after="0"/>
              <w:jc w:val="center"/>
              <w:rPr>
                <w:rFonts w:cs="Arial"/>
              </w:rPr>
            </w:pPr>
            <w:r>
              <w:rPr>
                <w:rFonts w:cs="Arial"/>
              </w:rPr>
              <w:t>1</w:t>
            </w:r>
          </w:p>
        </w:tc>
        <w:tc>
          <w:tcPr>
            <w:tcW w:w="879" w:type="dxa"/>
            <w:tcBorders/>
            <w:shd w:fill="FFFFFF" w:val="clear"/>
          </w:tcPr>
          <w:p>
            <w:pPr>
              <w:pStyle w:val="Table-FirstRow"/>
              <w:spacing w:before="120" w:after="0"/>
              <w:jc w:val="center"/>
              <w:rPr>
                <w:rFonts w:cs="Arial"/>
              </w:rPr>
            </w:pPr>
            <w:r>
              <w:rPr>
                <w:rFonts w:cs="Arial"/>
              </w:rPr>
              <w:t>1996</w:t>
            </w:r>
          </w:p>
        </w:tc>
        <w:tc>
          <w:tcPr>
            <w:tcW w:w="1641" w:type="dxa"/>
            <w:tcBorders/>
          </w:tcPr>
          <w:p>
            <w:pPr>
              <w:pStyle w:val="Table-FirstRow"/>
              <w:tabs>
                <w:tab w:val="clear" w:pos="720"/>
                <w:tab w:val="decimal" w:pos="564" w:leader="none"/>
              </w:tabs>
              <w:spacing w:before="120" w:after="0"/>
              <w:rPr>
                <w:rFonts w:cs="Arial"/>
              </w:rPr>
            </w:pPr>
            <w:r>
              <w:rPr>
                <w:rFonts w:cs="Arial"/>
              </w:rPr>
              <w:t>10.21%</w:t>
            </w:r>
          </w:p>
        </w:tc>
        <w:tc>
          <w:tcPr>
            <w:tcW w:w="1800" w:type="dxa"/>
            <w:tcBorders/>
          </w:tcPr>
          <w:p>
            <w:pPr>
              <w:pStyle w:val="Table-FirstRow"/>
              <w:tabs>
                <w:tab w:val="clear" w:pos="720"/>
                <w:tab w:val="decimal" w:pos="723" w:leader="none"/>
              </w:tabs>
              <w:spacing w:before="120" w:after="0"/>
              <w:rPr>
                <w:rFonts w:cs="Arial"/>
              </w:rPr>
            </w:pPr>
            <w:r>
              <w:rPr>
                <w:rFonts w:cs="Arial"/>
              </w:rPr>
              <w:t>11.6%</w:t>
            </w:r>
          </w:p>
        </w:tc>
      </w:tr>
      <w:tr>
        <w:trPr/>
        <w:tc>
          <w:tcPr>
            <w:tcW w:w="879" w:type="dxa"/>
            <w:tcBorders/>
            <w:shd w:fill="FFFFFF" w:val="clear"/>
          </w:tcPr>
          <w:p>
            <w:pPr>
              <w:pStyle w:val="Table-FirstRow"/>
              <w:spacing w:before="120" w:after="0"/>
              <w:jc w:val="center"/>
              <w:rPr>
                <w:rFonts w:cs="Arial"/>
                <w:color w:val="000000"/>
              </w:rPr>
            </w:pPr>
            <w:r>
              <w:rPr>
                <w:rFonts w:cs="Arial"/>
                <w:color w:val="000000"/>
              </w:rPr>
              <w:t>2</w:t>
            </w:r>
          </w:p>
        </w:tc>
        <w:tc>
          <w:tcPr>
            <w:tcW w:w="879" w:type="dxa"/>
            <w:tcBorders/>
            <w:shd w:fill="FFFFFF" w:val="clear"/>
          </w:tcPr>
          <w:p>
            <w:pPr>
              <w:pStyle w:val="Table-FirstRow"/>
              <w:spacing w:before="120" w:after="0"/>
              <w:jc w:val="center"/>
              <w:rPr>
                <w:rFonts w:cs="Arial"/>
                <w:color w:val="000000"/>
              </w:rPr>
            </w:pPr>
            <w:r>
              <w:rPr>
                <w:rFonts w:cs="Arial"/>
                <w:color w:val="000000"/>
              </w:rPr>
              <w:t>1997</w:t>
            </w:r>
          </w:p>
        </w:tc>
        <w:tc>
          <w:tcPr>
            <w:tcW w:w="1641" w:type="dxa"/>
            <w:tcBorders/>
          </w:tcPr>
          <w:p>
            <w:pPr>
              <w:pStyle w:val="Table-FirstRow"/>
              <w:tabs>
                <w:tab w:val="clear" w:pos="720"/>
                <w:tab w:val="decimal" w:pos="564" w:leader="none"/>
              </w:tabs>
              <w:spacing w:before="120" w:after="0"/>
              <w:rPr>
                <w:rFonts w:cs="Arial"/>
              </w:rPr>
            </w:pPr>
            <w:r>
              <w:rPr>
                <w:rFonts w:cs="Arial"/>
              </w:rPr>
              <w:t>7.93%</w:t>
            </w:r>
          </w:p>
        </w:tc>
        <w:tc>
          <w:tcPr>
            <w:tcW w:w="1800" w:type="dxa"/>
            <w:tcBorders/>
          </w:tcPr>
          <w:p>
            <w:pPr>
              <w:pStyle w:val="Table-FirstRow"/>
              <w:tabs>
                <w:tab w:val="clear" w:pos="720"/>
                <w:tab w:val="decimal" w:pos="723" w:leader="none"/>
              </w:tabs>
              <w:spacing w:before="120" w:after="0"/>
              <w:rPr>
                <w:rFonts w:cs="Arial"/>
              </w:rPr>
            </w:pPr>
            <w:r>
              <w:rPr>
                <w:rFonts w:cs="Arial"/>
              </w:rPr>
              <w:t>11.6%</w:t>
            </w:r>
          </w:p>
        </w:tc>
      </w:tr>
      <w:tr>
        <w:trPr/>
        <w:tc>
          <w:tcPr>
            <w:tcW w:w="879" w:type="dxa"/>
            <w:tcBorders/>
            <w:shd w:fill="FFFFFF" w:val="clear"/>
          </w:tcPr>
          <w:p>
            <w:pPr>
              <w:pStyle w:val="Table-FirstRow"/>
              <w:spacing w:before="120" w:after="0"/>
              <w:jc w:val="center"/>
              <w:rPr>
                <w:rFonts w:cs="Arial"/>
                <w:color w:val="000000"/>
              </w:rPr>
            </w:pPr>
            <w:r>
              <w:rPr>
                <w:rFonts w:cs="Arial"/>
                <w:color w:val="000000"/>
              </w:rPr>
              <w:t>3</w:t>
            </w:r>
          </w:p>
        </w:tc>
        <w:tc>
          <w:tcPr>
            <w:tcW w:w="879" w:type="dxa"/>
            <w:tcBorders/>
            <w:shd w:fill="FFFFFF" w:val="clear"/>
          </w:tcPr>
          <w:p>
            <w:pPr>
              <w:pStyle w:val="Table-FirstRow"/>
              <w:spacing w:before="120" w:after="0"/>
              <w:jc w:val="center"/>
              <w:rPr>
                <w:rFonts w:cs="Arial"/>
                <w:color w:val="000000"/>
              </w:rPr>
            </w:pPr>
            <w:r>
              <w:rPr>
                <w:rFonts w:cs="Arial"/>
                <w:color w:val="000000"/>
              </w:rPr>
              <w:t>1998</w:t>
            </w:r>
          </w:p>
        </w:tc>
        <w:tc>
          <w:tcPr>
            <w:tcW w:w="1641" w:type="dxa"/>
            <w:tcBorders/>
          </w:tcPr>
          <w:p>
            <w:pPr>
              <w:pStyle w:val="Table-FirstRow"/>
              <w:tabs>
                <w:tab w:val="clear" w:pos="720"/>
                <w:tab w:val="decimal" w:pos="564" w:leader="none"/>
              </w:tabs>
              <w:spacing w:before="120" w:after="0"/>
              <w:rPr>
                <w:rFonts w:cs="Arial"/>
              </w:rPr>
            </w:pPr>
            <w:r>
              <w:rPr>
                <w:rFonts w:cs="Arial"/>
              </w:rPr>
              <w:t>8.72%</w:t>
            </w:r>
          </w:p>
        </w:tc>
        <w:tc>
          <w:tcPr>
            <w:tcW w:w="1800" w:type="dxa"/>
            <w:tcBorders/>
          </w:tcPr>
          <w:p>
            <w:pPr>
              <w:pStyle w:val="Table-FirstRow"/>
              <w:tabs>
                <w:tab w:val="clear" w:pos="720"/>
                <w:tab w:val="decimal" w:pos="723" w:leader="none"/>
              </w:tabs>
              <w:spacing w:before="120" w:after="0"/>
              <w:rPr>
                <w:rFonts w:cs="Arial"/>
              </w:rPr>
            </w:pPr>
            <w:r>
              <w:rPr>
                <w:rFonts w:cs="Arial"/>
              </w:rPr>
              <w:t>11.2%</w:t>
            </w:r>
          </w:p>
        </w:tc>
      </w:tr>
      <w:tr>
        <w:trPr/>
        <w:tc>
          <w:tcPr>
            <w:tcW w:w="879" w:type="dxa"/>
            <w:tcBorders/>
            <w:shd w:fill="FFFFFF" w:val="clear"/>
          </w:tcPr>
          <w:p>
            <w:pPr>
              <w:pStyle w:val="Table-FirstRow"/>
              <w:spacing w:before="120" w:after="0"/>
              <w:jc w:val="center"/>
              <w:rPr>
                <w:rFonts w:cs="Arial"/>
                <w:color w:val="000000"/>
              </w:rPr>
            </w:pPr>
            <w:r>
              <w:rPr>
                <w:rFonts w:cs="Arial"/>
                <w:color w:val="000000"/>
              </w:rPr>
              <w:t>4</w:t>
            </w:r>
          </w:p>
        </w:tc>
        <w:tc>
          <w:tcPr>
            <w:tcW w:w="879" w:type="dxa"/>
            <w:tcBorders/>
            <w:shd w:fill="FFFFFF" w:val="clear"/>
          </w:tcPr>
          <w:p>
            <w:pPr>
              <w:pStyle w:val="Table-FirstRow"/>
              <w:spacing w:before="120" w:after="0"/>
              <w:jc w:val="center"/>
              <w:rPr>
                <w:rFonts w:cs="Arial"/>
                <w:color w:val="000000"/>
              </w:rPr>
            </w:pPr>
            <w:r>
              <w:rPr>
                <w:rFonts w:cs="Arial"/>
                <w:color w:val="000000"/>
              </w:rPr>
              <w:t>1999</w:t>
            </w:r>
          </w:p>
        </w:tc>
        <w:tc>
          <w:tcPr>
            <w:tcW w:w="1641" w:type="dxa"/>
            <w:tcBorders/>
          </w:tcPr>
          <w:p>
            <w:pPr>
              <w:pStyle w:val="Table-FirstRow"/>
              <w:tabs>
                <w:tab w:val="clear" w:pos="720"/>
                <w:tab w:val="decimal" w:pos="564" w:leader="none"/>
              </w:tabs>
              <w:spacing w:before="120" w:after="0"/>
              <w:rPr>
                <w:rFonts w:cs="Arial"/>
              </w:rPr>
            </w:pPr>
            <w:r>
              <w:rPr>
                <w:rFonts w:cs="Arial"/>
              </w:rPr>
              <w:t>10.28%</w:t>
            </w:r>
          </w:p>
        </w:tc>
        <w:tc>
          <w:tcPr>
            <w:tcW w:w="1800" w:type="dxa"/>
            <w:tcBorders/>
          </w:tcPr>
          <w:p>
            <w:pPr>
              <w:pStyle w:val="Table-FirstRow"/>
              <w:tabs>
                <w:tab w:val="clear" w:pos="720"/>
                <w:tab w:val="decimal" w:pos="723" w:leader="none"/>
              </w:tabs>
              <w:spacing w:before="120" w:after="0"/>
              <w:rPr>
                <w:rFonts w:cs="Arial"/>
              </w:rPr>
            </w:pPr>
            <w:r>
              <w:rPr>
                <w:rFonts w:cs="Arial"/>
              </w:rPr>
              <w:t>10.6%</w:t>
            </w:r>
          </w:p>
        </w:tc>
      </w:tr>
      <w:tr>
        <w:trPr/>
        <w:tc>
          <w:tcPr>
            <w:tcW w:w="879" w:type="dxa"/>
            <w:tcBorders/>
            <w:shd w:fill="FFFFFF" w:val="clear"/>
          </w:tcPr>
          <w:p>
            <w:pPr>
              <w:pStyle w:val="Table-LastRow"/>
              <w:snapToGrid w:val="false"/>
              <w:spacing w:before="120" w:after="0"/>
              <w:rPr>
                <w:rFonts w:ascii="Times New Roman" w:hAnsi="Times New Roman" w:cs="Times New Roman"/>
                <w:color w:val="000000"/>
                <w:sz w:val="20"/>
              </w:rPr>
            </w:pPr>
            <w:r>
              <w:rPr>
                <w:rFonts w:cs="Times New Roman" w:ascii="Times New Roman" w:hAnsi="Times New Roman"/>
                <w:color w:val="000000"/>
                <w:sz w:val="20"/>
              </w:rPr>
            </w:r>
          </w:p>
        </w:tc>
        <w:tc>
          <w:tcPr>
            <w:tcW w:w="879" w:type="dxa"/>
            <w:tcBorders/>
            <w:shd w:fill="FFFFFF" w:val="clear"/>
          </w:tcPr>
          <w:p>
            <w:pPr>
              <w:pStyle w:val="Table-LastRow"/>
              <w:snapToGrid w:val="false"/>
              <w:spacing w:before="120" w:after="0"/>
              <w:rPr/>
            </w:pPr>
            <w:r>
              <w:rPr/>
            </w:r>
          </w:p>
        </w:tc>
        <w:tc>
          <w:tcPr>
            <w:tcW w:w="1641" w:type="dxa"/>
            <w:tcBorders/>
          </w:tcPr>
          <w:p>
            <w:pPr>
              <w:pStyle w:val="Table-LastRow"/>
              <w:snapToGrid w:val="false"/>
              <w:spacing w:before="120" w:after="0"/>
              <w:rPr/>
            </w:pPr>
            <w:r>
              <w:rPr/>
            </w:r>
          </w:p>
        </w:tc>
        <w:tc>
          <w:tcPr>
            <w:tcW w:w="1800" w:type="dxa"/>
            <w:tcBorders/>
          </w:tcPr>
          <w:p>
            <w:pPr>
              <w:pStyle w:val="Table-LastRow"/>
              <w:snapToGrid w:val="false"/>
              <w:spacing w:before="120" w:after="0"/>
              <w:rPr/>
            </w:pPr>
            <w:r>
              <w:rPr/>
            </w:r>
          </w:p>
        </w:tc>
      </w:tr>
    </w:tbl>
    <w:p>
      <w:pPr>
        <w:pStyle w:val="Body2"/>
        <w:spacing w:before="120" w:after="0"/>
        <w:rPr>
          <w:rFonts w:cs="Arial"/>
        </w:rPr>
      </w:pPr>
      <w:r>
        <w:rPr>
          <w:rFonts w:cs="Arial"/>
        </w:rPr>
        <w:t>Similarly, PG&amp;E’s generation revenues above cost-based prices are far smaller than wholesale power costs.  The current overcollection in PG&amp;E’s TCBA, which includes both above-cost generation revenues and revenues associated with the rate reduction bonds, is about $674 million, or only 19 percent of the TRA undercollection.  Furthermore, generation revenues have declined somewhat over the last several months.  PG&amp;E expects above-cost generation revenues to average about 20 to 30 percent of wholesale power costs during periods when power costs are high.</w:t>
      </w:r>
    </w:p>
    <w:p>
      <w:pPr>
        <w:pStyle w:val="Body2"/>
        <w:rPr>
          <w:rFonts w:cs="Arial"/>
        </w:rPr>
      </w:pPr>
      <w:r>
        <w:rPr>
          <w:rFonts w:cs="Arial"/>
        </w:rPr>
        <w:t>For the generation revenues above cost-based prices received after the date determined for the end of PG&amp;E’s rate freeze, a portion belongs to ratepayers and will be used to offset uncollected power costs, as described above.  The rest rightfully belong to PG&amp;E’s shareholders.</w:t>
      </w:r>
    </w:p>
    <w:p>
      <w:pPr>
        <w:pStyle w:val="Heading2"/>
        <w:ind w:firstLine="432" w:start="0"/>
        <w:rPr/>
      </w:pPr>
      <w:bookmarkStart w:id="12" w:name="__RefHeading___Toc499520077"/>
      <w:bookmarkEnd w:id="12"/>
      <w:r>
        <w:rPr/>
        <w:t>The Problem of Undercollections Will Not Resolve Itself Without Commission Action</w:t>
      </w:r>
    </w:p>
    <w:p>
      <w:pPr>
        <w:pStyle w:val="Body2"/>
        <w:rPr/>
      </w:pPr>
      <w:r>
        <w:rPr/>
        <w:t xml:space="preserve">It is impossible to perfectly forecast future energy prices.  However, as discussed below, there is no reason to assume that in the short term wholesale energy prices will drop to the level of existing rates to eliminate the continuing accumulation of shortfalls.  The level of undercollection experienced to date and expected in the future makes it almost impossible for ratepayers to make up the shortfall accumulated to date without a rate stabilization plan as described in this filing. </w:t>
      </w:r>
    </w:p>
    <w:p>
      <w:pPr>
        <w:pStyle w:val="Body2"/>
        <w:rPr/>
      </w:pPr>
      <w:r>
        <w:rPr/>
        <w:t xml:space="preserve">A number of factors make it likely that prices will remain well above those contemplated in current rates:  </w:t>
      </w:r>
    </w:p>
    <w:p>
      <w:pPr>
        <w:pStyle w:val="Bullet2"/>
        <w:numPr>
          <w:ilvl w:val="0"/>
          <w:numId w:val="3"/>
        </w:numPr>
        <w:rPr/>
      </w:pPr>
      <w:r>
        <w:rPr/>
        <w:t>FERC’s draft order of November 1, 2000, proposes a number of immediate measures to be put into place by the end of December, 2000, as well as longer-term measures to restructure the wholesale power market in California.  Even if approved as written, the draft order contemplates market structure and market design remedies which, the Order notes, could take up to 24 months to effect.</w:t>
      </w:r>
      <w:r>
        <w:rPr>
          <w:b/>
          <w:bCs/>
          <w:position w:val="6"/>
        </w:rPr>
        <w:t>[</w:t>
      </w:r>
      <w:r>
        <w:rPr>
          <w:rStyle w:val="FootnoteCharacters"/>
          <w:rStyle w:val="FootnoteReference"/>
          <w:bCs/>
        </w:rPr>
        <w:footnoteReference w:id="11"/>
      </w:r>
      <w:r>
        <w:rPr>
          <w:b/>
          <w:bCs/>
          <w:position w:val="6"/>
        </w:rPr>
        <w:t>]</w:t>
      </w:r>
    </w:p>
    <w:p>
      <w:pPr>
        <w:pStyle w:val="Bullet2"/>
        <w:numPr>
          <w:ilvl w:val="0"/>
          <w:numId w:val="3"/>
        </w:numPr>
        <w:rPr/>
      </w:pPr>
      <w:r>
        <w:rPr/>
        <w:t>Even with revisions to the market structure contemplated by the FERC, there is a mismatch of energy demand and supply in California, which will remain until significant new generation facilities come on line, a process which is not expected to occur before next summer’s peak demands.</w:t>
      </w:r>
    </w:p>
    <w:p>
      <w:pPr>
        <w:pStyle w:val="Bullet2"/>
        <w:numPr>
          <w:ilvl w:val="0"/>
          <w:numId w:val="3"/>
        </w:numPr>
        <w:rPr/>
      </w:pPr>
      <w:r>
        <w:rPr/>
        <w:t>Although overshadowed by the recent increases and volatility of the electric market, the price of natural gas nationwide has increased dramatically in recent months.  Given the level of gas-fired generation in existing and planned new facilities, the increased gas cost raises the cost of electric production and would increase the price of electricity even with a cost-of-service structure.  The fuel cost for a gas-fired generating unit is equal to the unit’s heat rate times the cost of natural gas.  A study prepared for the California Energy Commission (CEC) shows the approximate heat rates of the principal generating units located with the ISO’s control area.</w:t>
      </w:r>
      <w:r>
        <w:rPr>
          <w:b/>
          <w:position w:val="6"/>
        </w:rPr>
        <w:t>[</w:t>
      </w:r>
      <w:r>
        <w:rPr>
          <w:rStyle w:val="FootnoteCharacters"/>
          <w:rStyle w:val="FootnoteReference"/>
          <w:bCs/>
        </w:rPr>
        <w:footnoteReference w:id="12"/>
      </w:r>
      <w:r>
        <w:rPr>
          <w:b/>
          <w:position w:val="6"/>
        </w:rPr>
        <w:t>]</w:t>
      </w:r>
      <w:r>
        <w:rPr/>
        <w:t xml:space="preserve">  The heat rates for these plants at full load reported by the CEC range from about 9,000 Btu/kWh to about 12,000 Btu/kWh.  With the spot price of natural gas in California since August ranging between $5.50/Mcf and $15.00/Mcf,</w:t>
      </w:r>
      <w:r>
        <w:rPr>
          <w:b/>
          <w:position w:val="6"/>
        </w:rPr>
        <w:t>[</w:t>
      </w:r>
      <w:r>
        <w:rPr>
          <w:rStyle w:val="FootnoteCharacters"/>
          <w:rStyle w:val="FootnoteReference"/>
        </w:rPr>
        <w:footnoteReference w:id="13"/>
      </w:r>
      <w:r>
        <w:rPr>
          <w:b/>
          <w:position w:val="6"/>
        </w:rPr>
        <w:t>]</w:t>
      </w:r>
      <w:r>
        <w:rPr/>
        <w:t xml:space="preserve"> the fuel cost for the operation of these gas-fired units is between $50/MWh and $180/MWh.  In addition to fuel costs, generators incur non-fuel variable O&amp;M costs, emission credit costs, and would expect to earn a return on and return of their investment.  Given the rising cost of these various inputs, even if FERC were to require the new owners of these gas-fired units to charge cost-based rates, the price would be well above PG&amp;E’s current approximate $53/MWh rate component for recovery of wholesale power costs.</w:t>
      </w:r>
    </w:p>
    <w:p>
      <w:pPr>
        <w:pStyle w:val="Heading1"/>
        <w:ind w:firstLine="432" w:start="0"/>
        <w:rPr/>
      </w:pPr>
      <w:bookmarkStart w:id="13" w:name="__RefHeading___Toc499520078"/>
      <w:bookmarkEnd w:id="13"/>
      <w:r>
        <w:rPr/>
        <w:t>The Commission Should Allow PG&amp;E to Recover the Federally Regulated Costs of Wholesale Power It Is Incurring to Serve Its Retail Customers</w:t>
      </w:r>
    </w:p>
    <w:p>
      <w:pPr>
        <w:pStyle w:val="Body1"/>
        <w:rPr/>
      </w:pPr>
      <w:r>
        <w:rPr/>
        <w:t>Under AB 1890 and the Commission’s PTER decisions, all prudently incurred costs from the date the conditions to end the freeze were met are borne by the ratepayers.  In addition, under Commission policies and precedents as well as state and federal law, the Commission should permit PG&amp;E to recover all of the wholesale power costs it has incurred prior to the date the conditions to end the freeze were met.</w:t>
      </w:r>
    </w:p>
    <w:p>
      <w:pPr>
        <w:pStyle w:val="Body1"/>
        <w:rPr/>
      </w:pPr>
      <w:r>
        <w:rPr/>
        <w:t xml:space="preserve">PG&amp;E must be allowed to recover the energy costs incurred in energy purchases on the behalf of its bundled customers.  The costs of procuring and transmitting electricity are determined by tariffs on file with and approved by the FERC.  Even with the market problems now acknowledged by FERC, PG&amp;E operated its energy procurement under rules and guidelines defined by the CPUC and the FERC for the wholesale market structure and the CPUC for retail distribution by California utilities.  </w:t>
      </w:r>
    </w:p>
    <w:p>
      <w:pPr>
        <w:pStyle w:val="Body1"/>
        <w:rPr/>
      </w:pPr>
      <w:r>
        <w:rPr/>
        <w:t>PG&amp;E entered into market measures as allowed by the rules to attempt to reduce the impact of the “broken” electric wholesale market on its customers, but the available options were limited because of the Commission’s electric industry structure rules, including the prohibition on utilities buying or selling outside the PX and the requirement that utilities pay all costs incurred by the ISO in procuring energy and ancillary services to maintain system reliability.  The level of accumulated unpaid balances resulting from these mandated purchases is unprecedented and threatens the financial health of the utility and its ability to function as a provider of regulated energy services.</w:t>
      </w:r>
    </w:p>
    <w:p>
      <w:pPr>
        <w:pStyle w:val="Body1"/>
        <w:rPr/>
      </w:pPr>
      <w:r>
        <w:rPr/>
        <w:t xml:space="preserve">As the default service provider, PG&amp;E purchases electricity for those customers who choose not to go to an alternative provider.  As was the case before electric industry restructuring, PG&amp;E passes energy costs through to customers at cost, with no built-in profit or mark up.  Allowing PG&amp;E to recover the wholesale energy costs it incurs to purchase energy for those it is required to serve is good policy.   </w:t>
      </w:r>
    </w:p>
    <w:p>
      <w:pPr>
        <w:pStyle w:val="Heading1"/>
        <w:ind w:firstLine="432" w:start="0"/>
        <w:rPr/>
      </w:pPr>
      <w:bookmarkStart w:id="14" w:name="__RefHeading___Toc499520079"/>
      <w:bookmarkEnd w:id="14"/>
      <w:r>
        <w:rPr/>
        <w:t>Organization of Remaining Testimony in Other Chapters</w:t>
      </w:r>
    </w:p>
    <w:p>
      <w:pPr>
        <w:pStyle w:val="Body1"/>
        <w:rPr/>
      </w:pPr>
      <w:r>
        <w:rPr/>
        <w:t>The rest of this testimony is organized as follows:</w:t>
      </w:r>
    </w:p>
    <w:p>
      <w:pPr>
        <w:pStyle w:val="Body1"/>
        <w:rPr/>
      </w:pPr>
      <w:r>
        <w:rPr/>
        <w:t>Chapter 2 (Rate Stabilization Policy) describes the reasons why PG&amp;E believes it is necessary and appropriate for the Commission to adopt a Rate Stabilization Plan, and generally describes the mechanics and the applicability of the plan.</w:t>
      </w:r>
    </w:p>
    <w:p>
      <w:pPr>
        <w:pStyle w:val="Body1"/>
        <w:rPr/>
      </w:pPr>
      <w:r>
        <w:rPr/>
        <w:t>Chapter 3 (Utility Financial Condition) describes the serious financial crisis facing PG&amp;E that requires the Commission to take meaningful steps to provide recovery of high purchased power costs as soon as possible.</w:t>
      </w:r>
    </w:p>
    <w:p>
      <w:pPr>
        <w:pStyle w:val="Body1"/>
        <w:rPr/>
      </w:pPr>
      <w:r>
        <w:rPr/>
        <w:t>Chapter 4 (Financial Issues Resulting from Current California Power Market Dysfunction) presents the reaction of capital markets and the financial implications of PG&amp;E’s current situation from the perspective of credit rating agencies, along with the broad implications of a timely solution.</w:t>
      </w:r>
    </w:p>
    <w:p>
      <w:pPr>
        <w:pStyle w:val="Body1"/>
        <w:rPr/>
      </w:pPr>
      <w:r>
        <w:rPr/>
        <w:t>Chapter 5 (Rating Evaluation Service Assessment of Pacific Gas and Electric Company) presents Standard &amp; Poor’s rating evaluation and comments on the timely recovery of wholesale power costs.</w:t>
      </w:r>
    </w:p>
    <w:p>
      <w:pPr>
        <w:pStyle w:val="Body1"/>
        <w:rPr/>
      </w:pPr>
      <w:r>
        <w:rPr/>
        <w:t>Chapter 6 (Balancing Account Mechanisms and Revenue Requirements) describes the proposed balancing account mechanisms and the development of the revenue requirements to implement PG&amp;E’s RSP, as well as interim rates and the true-up.</w:t>
      </w:r>
    </w:p>
    <w:p>
      <w:pPr>
        <w:pStyle w:val="Body1"/>
        <w:rPr/>
      </w:pPr>
      <w:r>
        <w:rPr/>
        <w:t xml:space="preserve">Chapter 7 (Rate Proposal) presents the details of the rate proposal and calculates the resulting rates. </w:t>
      </w:r>
    </w:p>
    <w:p>
      <w:pPr>
        <w:pStyle w:val="Heading1"/>
        <w:ind w:firstLine="432" w:start="0"/>
        <w:rPr/>
      </w:pPr>
      <w:bookmarkStart w:id="15" w:name="__RefHeading___Toc499520080"/>
      <w:bookmarkEnd w:id="15"/>
      <w:r>
        <w:rPr/>
        <w:t>Conclusion</w:t>
      </w:r>
    </w:p>
    <w:p>
      <w:pPr>
        <w:pStyle w:val="Body1"/>
        <w:rPr/>
      </w:pPr>
      <w:r>
        <w:rPr/>
        <w:t xml:space="preserve">The Commission should act immediately to implement the end of the transition period, adopt PG&amp;E’s RSP, and address the current crisis in wholesale and retail electricity markets.  Decisive action is needed to assuage the concerns of the financial community and credit markets while ensuring a soft landing for the retail customers.  PG&amp;E’s RSP accomplishes these dual objectives.  However, this RSP is only one part of what must be a comprehensive solution to California’s dysfunctional electric market.  Long-term solutions will take time to develop and are dependent on the market reforms adopted by public policy officials and the extent to which these reforms lead to lower prices for California consumers.  </w:t>
      </w:r>
    </w:p>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17</w:t>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17</w:t>
    </w:r>
    <w:r>
      <w:rPr/>
      <w:fldChar w:fldCharType="end"/>
    </w:r>
    <w:r>
      <w:rPr/>
      <w:t>-</w:t>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SEQ chap \* ARABIC </w:instrText>
    </w:r>
    <w:r>
      <w:rPr/>
      <w:fldChar w:fldCharType="separate"/>
    </w:r>
    <w:r>
      <w:rPr/>
      <w:t>17</w:t>
    </w:r>
    <w:r>
      <w:rPr/>
      <w:fldChar w:fldCharType="end"/>
    </w:r>
    <w:r>
      <w:rPr/>
      <w:t>-</w:t>
    </w:r>
    <w:r>
      <w:rPr/>
      <w:fldChar w:fldCharType="begin"/>
    </w:r>
    <w:r>
      <w:rPr/>
      <w:instrText xml:space="preserve"> PAGE </w:instrText>
    </w:r>
    <w:r>
      <w:rPr/>
      <w:fldChar w:fldCharType="separate"/>
    </w:r>
    <w:r>
      <w:rPr/>
      <w:t>20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See, for example, Emergency Petition of PG&amp;E for Expedited Modification of Decisions 99</w:t>
        <w:noBreakHyphen/>
        <w:t>10</w:t>
        <w:noBreakHyphen/>
        <w:t>057 and 00</w:t>
        <w:noBreakHyphen/>
        <w:t>03</w:t>
        <w:noBreakHyphen/>
        <w:t>058 filed October 4, 2000; PG&amp;E’s Prehearing Conference Statement, filed October 25, 2000; Transcript of Prehearing Conference Statement of Roger Peters for PG&amp;E, transcript pages 82</w:t>
        <w:noBreakHyphen/>
        <w:t>83; Response of PG&amp;E to Assigned Commissioner’s Ruling and in Opposition to the Petition of TURN for Modification of E</w:t>
        <w:noBreakHyphen/>
        <w:t>3527, Filed November 9, 2000; Reply of PG&amp;E to Responses to the Petition of TURN for Modification of Resolution E</w:t>
        <w:noBreakHyphen/>
        <w:t xml:space="preserve">3527, filed November 17, 2000.  </w:t>
      </w:r>
    </w:p>
  </w:footnote>
  <w:footnote w:id="3">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Fonts w:cs="Arial"/>
          <w:bCs/>
          <w:szCs w:val="24"/>
        </w:rPr>
        <w:t>?</w:t>
      </w:r>
      <w:r>
        <w:rPr>
          <w:b/>
          <w:position w:val="6"/>
        </w:rPr>
        <w:t>]</w:t>
      </w:r>
      <w:r>
        <w:rPr/>
        <w:t xml:space="preserve">  </w:t>
        <w:tab/>
        <w:t>The phrases “transition period,” “rate freeze,” and “rate freeze period” have been used interchangeably, sometimes to refer to different periods.  To avoid confusion, this filing will attempt to clarify the periods under discussion by using the term “transition period” to refer to the period of transition cost recovery that must be accomplished no later than March 31, 2002, in accordance with § 368 of the Public Utilities Code.  Although rates themselves may not change at the same date as that by which the transition costs are collected, the Commission has stated and PG&amp;E proposes that the new rates will be calculated as though they changed simultaneously with the end of the rate freeze.</w:t>
      </w:r>
    </w:p>
  </w:footnote>
  <w:footnote w:id="4">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Fonts w:cs="Arial"/>
          <w:bCs/>
          <w:szCs w:val="24"/>
        </w:rPr>
        <w:t>?</w:t>
      </w:r>
      <w:r>
        <w:rPr>
          <w:b/>
          <w:position w:val="6"/>
        </w:rPr>
        <w:t>]</w:t>
      </w:r>
      <w:r>
        <w:rPr/>
        <w:tab/>
        <w:t xml:space="preserve">93 FERC 61,121.   </w:t>
      </w:r>
    </w:p>
  </w:footnote>
  <w:footnote w:id="5">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Decision 00</w:t>
        <w:noBreakHyphen/>
        <w:t>02</w:t>
        <w:noBreakHyphen/>
        <w:t>048, Ordering Paragraph 6.</w:t>
      </w:r>
    </w:p>
  </w:footnote>
  <w:footnote w:id="6">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A significant portion of the energy revenues, perhaps as much as 25 percent, are not direct costs from PG&amp;E purchases but are costs which state law requires the California Independent System Operator to incur and pass on to utilities in order to maintain electric system reliability.</w:t>
      </w:r>
    </w:p>
  </w:footnote>
  <w:footnote w:id="7">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 xml:space="preserve">As discussed in more detail below, above-cost generation revenues are defined as those revenues available once the costs or authorized amount associated with PG&amp;E’s must-take facilities (Diablo Canyon, Qualifying Facilities, and Purchase Power Agreements), and must-run/non-must-run fossil and hydroelectric facilities has been recovered.  Above-cost generation revenues associated with must-take and must-run/non-must-run facilities are recorded in the TCBA and Generation Memorandum Accounts, respectively. </w:t>
      </w:r>
    </w:p>
  </w:footnote>
  <w:footnote w:id="8">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The limited impact of above-cost revenues is discussed shortly.</w:t>
      </w:r>
    </w:p>
  </w:footnote>
  <w:footnote w:id="9">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For instance, at the October 27 prehearing conference, Robert Gnaizda of Latino Issues Forum said, “Every month we read of doubling and tripling of profits.”  Tr 102, lines 17</w:t>
        <w:noBreakHyphen/>
        <w:t>18.</w:t>
      </w:r>
    </w:p>
  </w:footnote>
  <w:footnote w:id="10">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In 1998 and 1999, the CPUC authorized return on equity applied to distribution facilities only; utility ROE presented here encompasses CPUC-regulated distribution and FERC-regulated transmission.</w:t>
      </w:r>
    </w:p>
  </w:footnote>
  <w:footnote w:id="11">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“Market Order Proposing Remedies for California Wholesale Electrics,” FERC Docket No. EL00</w:t>
        <w:noBreakHyphen/>
        <w:t>95</w:t>
        <w:noBreakHyphen/>
        <w:t>000, et al., Issued November 1, 2000, page 4.  To the extent that FERC requires sellers in the wholesale market to make refunds to purchasers, those refunds would flow to ratepayers.</w:t>
      </w:r>
    </w:p>
  </w:footnote>
  <w:footnote w:id="12">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Fonts w:cs="Arial"/>
          <w:bCs/>
          <w:szCs w:val="24"/>
        </w:rPr>
        <w:t>?</w:t>
      </w:r>
      <w:r>
        <w:rPr>
          <w:b/>
          <w:position w:val="6"/>
        </w:rPr>
        <w:t>]</w:t>
      </w:r>
      <w:r>
        <w:rPr/>
        <w:tab/>
      </w:r>
      <w:r>
        <w:rPr>
          <w:i/>
          <w:iCs/>
        </w:rPr>
        <w:t xml:space="preserve">The Use of Heat Rates in Production Cost Modeling and Market Modeling, </w:t>
      </w:r>
      <w:r>
        <w:rPr/>
        <w:t xml:space="preserve">April 17, 1998.  This study may be found on the CEC’s web site at </w:t>
      </w:r>
      <w:r>
        <w:rPr>
          <w:rStyle w:val="Hyperlink"/>
        </w:rPr>
        <w:t>www.energy.ca.gove/papers/98-04-07_HEATRATE.PDF</w:t>
      </w:r>
      <w:r>
        <w:rPr/>
        <w:t xml:space="preserve">.  </w:t>
      </w:r>
    </w:p>
  </w:footnote>
  <w:footnote w:id="13">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 xml:space="preserve">See, for example, daily city gate prices quoted in </w:t>
      </w:r>
      <w:r>
        <w:rPr>
          <w:i/>
          <w:iCs/>
        </w:rPr>
        <w:t>BTU’s Daily Gas Wire.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t>17</w:t>
    </w:r>
    <w:r>
      <w:rPr/>
      <w:fldChar w:fldCharType="end"/>
    </w:r>
    <w:r>
      <w:rPr/>
      <w:br/>
    </w:r>
    <w:r>
      <w:rPr>
        <w:rFonts w:cs="Arial"/>
      </w:rPr>
      <w:t>THE COMMISSION SHOULD ACT IMMEDIATELY TO IMPLEMENT THE END OF THE TRANSITION PERIOD, ADOPT PG&amp;E’S RATE STABILIZATION PLAN AND ADDRESS THE CURRENT CRISIS IN WHOLESALE AND RETAIL ELECTRICITY MARKETS</w:t>
    </w:r>
    <w:r>
      <w:rPr/>
      <w:br/>
      <w:br/>
      <w:t>TABLE OF CONTENTS</w:t>
      <w:br/>
      <w:br/>
      <w:t>(Continued)</w:t>
      <w:b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abstractNum w:abstractNumId="6">
    <w:lvl w:ilvl="0">
      <w:numFmt w:val="bullet"/>
      <w:lvlText w:val=""/>
      <w:lvlJc w:val="start"/>
      <w:pPr>
        <w:tabs>
          <w:tab w:val="num" w:pos="432"/>
        </w:tabs>
        <w:ind w:start="864" w:hanging="432"/>
      </w:pPr>
      <w:rPr>
        <w:rFonts w:ascii="Symbol" w:hAnsi="Symbol" w:cs="Symbol" w:hint="default"/>
        <w:sz w:val="20"/>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color w:val="000000"/>
      <w:sz w:val="20"/>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rFonts w:ascii="Symbol" w:hAnsi="Symbol" w:cs="Symbol"/>
      <w:color w:val="000000"/>
      <w:sz w:val="20"/>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7z0">
    <w:name w:val="WW8Num27z0"/>
    <w:qFormat/>
    <w:rPr>
      <w:rFonts w:ascii="Symbol" w:hAnsi="Symbol" w:cs="Symbol"/>
    </w:rPr>
  </w:style>
  <w:style w:type="character" w:styleId="WW8Num27z1">
    <w:name w:val="WW8Num27z1"/>
    <w:qFormat/>
    <w:rPr>
      <w:rFonts w:ascii="Courier New" w:hAnsi="Courier New" w:cs="Times New Roman"/>
    </w:rPr>
  </w:style>
  <w:style w:type="character" w:styleId="WW8Num27z2">
    <w:name w:val="WW8Num27z2"/>
    <w:qFormat/>
    <w:rPr>
      <w:rFonts w:ascii="Wingdings" w:hAnsi="Wingdings" w:cs="Wingdings"/>
    </w:rPr>
  </w:style>
  <w:style w:type="character" w:styleId="WW8Num28z0">
    <w:name w:val="WW8Num28z0"/>
    <w:qFormat/>
    <w:rPr>
      <w:rFonts w:ascii="Symbol" w:hAnsi="Symbol" w:cs="Symbol"/>
      <w:color w:val="000000"/>
      <w:sz w:val="20"/>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color w:val="000000"/>
      <w:sz w:val="20"/>
    </w:rPr>
  </w:style>
  <w:style w:type="character" w:styleId="WW8Num31z0">
    <w:name w:val="WW8Num31z0"/>
    <w:qFormat/>
    <w:rPr>
      <w:rFonts w:ascii="Symbol" w:hAnsi="Symbol" w:cs="Symbol"/>
      <w:color w:val="000000"/>
      <w:sz w:val="20"/>
    </w:rPr>
  </w:style>
  <w:style w:type="character" w:styleId="WW8Num32z0">
    <w:name w:val="WW8Num32z0"/>
    <w:qFormat/>
    <w:rPr>
      <w:rFonts w:ascii="Symbol" w:hAnsi="Symbol" w:cs="Symbol"/>
      <w:color w:val="000000"/>
      <w:sz w:val="20"/>
    </w:rPr>
  </w:style>
  <w:style w:type="character" w:styleId="WW8Num33z0">
    <w:name w:val="WW8Num33z0"/>
    <w:qFormat/>
    <w:rPr>
      <w:rFonts w:ascii="Symbol" w:hAnsi="Symbol" w:cs="Symbol"/>
      <w:color w:val="000000"/>
      <w:sz w:val="20"/>
    </w:rPr>
  </w:style>
  <w:style w:type="character" w:styleId="WW8Num34z0">
    <w:name w:val="WW8Num34z0"/>
    <w:qFormat/>
    <w:rPr>
      <w:rFonts w:ascii="Symbol" w:hAnsi="Symbol" w:cs="Symbol"/>
    </w:rPr>
  </w:style>
  <w:style w:type="character" w:styleId="WW8Num34z1">
    <w:name w:val="WW8Num34z1"/>
    <w:qFormat/>
    <w:rPr>
      <w:rFonts w:ascii="Courier New" w:hAnsi="Courier New" w:cs="Times New Roman"/>
    </w:rPr>
  </w:style>
  <w:style w:type="character" w:styleId="WW8Num34z2">
    <w:name w:val="WW8Num34z2"/>
    <w:qFormat/>
    <w:rPr>
      <w:rFonts w:ascii="Wingdings" w:hAnsi="Wingdings" w:cs="Wingdings"/>
    </w:rPr>
  </w:style>
  <w:style w:type="character" w:styleId="WW8Num35z0">
    <w:name w:val="WW8Num35z0"/>
    <w:qFormat/>
    <w:rPr>
      <w:rFonts w:ascii="Symbol" w:hAnsi="Symbol" w:cs="Symbol"/>
      <w:color w:val="000000"/>
      <w:sz w:val="20"/>
    </w:rPr>
  </w:style>
  <w:style w:type="character" w:styleId="WW8Num36z0">
    <w:name w:val="WW8Num36z0"/>
    <w:qFormat/>
    <w:rPr>
      <w:rFonts w:ascii="Symbol" w:hAnsi="Symbol" w:cs="Symbol"/>
      <w:color w:val="000000"/>
      <w:sz w:val="20"/>
    </w:rPr>
  </w:style>
  <w:style w:type="character" w:styleId="WW8Num37z0">
    <w:name w:val="WW8Num37z0"/>
    <w:qFormat/>
    <w:rPr>
      <w:rFonts w:ascii="Symbol" w:hAnsi="Symbol" w:cs="Symbol"/>
      <w:color w:val="000000"/>
      <w:sz w:val="20"/>
    </w:rPr>
  </w:style>
  <w:style w:type="character" w:styleId="WW8Num38z0">
    <w:name w:val="WW8Num38z0"/>
    <w:qFormat/>
    <w:rPr>
      <w:rFonts w:ascii="Courier New" w:hAnsi="Courier New" w:cs="Courier New"/>
      <w:sz w:val="20"/>
    </w:rPr>
  </w:style>
  <w:style w:type="character" w:styleId="WW8Num39z0">
    <w:name w:val="WW8Num39z0"/>
    <w:qFormat/>
    <w:rPr>
      <w:rFonts w:ascii="Symbol" w:hAnsi="Symbol" w:cs="Symbol"/>
    </w:rPr>
  </w:style>
  <w:style w:type="character" w:styleId="WW8Num39z1">
    <w:name w:val="WW8Num39z1"/>
    <w:qFormat/>
    <w:rPr>
      <w:rFonts w:ascii="Courier New" w:hAnsi="Courier New" w:cs="Times New Roman"/>
    </w:rPr>
  </w:style>
  <w:style w:type="character" w:styleId="WW8Num39z2">
    <w:name w:val="WW8Num39z2"/>
    <w:qFormat/>
    <w:rPr>
      <w:rFonts w:ascii="Wingdings" w:hAnsi="Wingdings" w:cs="Wingdings"/>
    </w:rPr>
  </w:style>
  <w:style w:type="character" w:styleId="WW8Num40z0">
    <w:name w:val="WW8Num40z0"/>
    <w:qFormat/>
    <w:rPr>
      <w:rFonts w:ascii="Symbol" w:hAnsi="Symbol" w:cs="Symbol"/>
      <w:color w:val="000000"/>
      <w:sz w:val="20"/>
    </w:rPr>
  </w:style>
  <w:style w:type="character" w:styleId="WW8Num41z0">
    <w:name w:val="WW8Num41z0"/>
    <w:qFormat/>
    <w:rPr>
      <w:rFonts w:ascii="Symbol" w:hAnsi="Symbol" w:cs="Symbol"/>
      <w:color w:val="000000"/>
      <w:sz w:val="20"/>
    </w:rPr>
  </w:style>
  <w:style w:type="character" w:styleId="WW8Num42z0">
    <w:name w:val="WW8Num42z0"/>
    <w:qFormat/>
    <w:rPr>
      <w:rFonts w:ascii="Symbol" w:hAnsi="Symbol" w:cs="Symbol"/>
      <w:color w:val="000000"/>
      <w:sz w:val="20"/>
    </w:rPr>
  </w:style>
  <w:style w:type="character" w:styleId="WW8Num43z0">
    <w:name w:val="WW8Num43z0"/>
    <w:qFormat/>
    <w:rPr/>
  </w:style>
  <w:style w:type="character" w:styleId="WW8Num44z0">
    <w:name w:val="WW8Num44z0"/>
    <w:qFormat/>
    <w:rPr>
      <w:rFonts w:ascii="Symbol" w:hAnsi="Symbol" w:cs="Symbol"/>
      <w:color w:val="000000"/>
      <w:sz w:val="20"/>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WW8NumSt48z0">
    <w:name w:val="WW8NumSt48z0"/>
    <w:qFormat/>
    <w:rPr>
      <w:rFonts w:ascii="Symbol" w:hAnsi="Symbol" w:cs="Symbol"/>
      <w:color w:val="000000"/>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000000"/>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000000"/>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000000"/>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firstLine="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000000"/>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BodyText2">
    <w:name w:val="Body Text 2"/>
    <w:basedOn w:val="Normal"/>
    <w:qFormat/>
    <w:pPr>
      <w:spacing w:lineRule="atLeast" w:line="400"/>
      <w:ind w:firstLine="432" w:start="432" w:end="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ackage" Target="embeddings/oleObject1.xlsx"/><Relationship Id="rId8" Type="http://schemas.openxmlformats.org/officeDocument/2006/relationships/image" Target="media/image1.wmf"/><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2000-11-22T18:47:00Z</dcterms:created>
  <dc:creator>DJR4</dc:creator>
  <dc:description/>
  <dc:language>en-CA</dc:language>
  <cp:lastModifiedBy>Janice Frazier-Hampton</cp:lastModifiedBy>
  <cp:lastPrinted>2000-11-22T09:43:00Z</cp:lastPrinted>
  <dcterms:modified xsi:type="dcterms:W3CDTF">2000-11-22T18:47:00Z</dcterms:modified>
  <cp:revision>2</cp:revision>
  <dc:subject/>
  <dc:title> TITLE </dc:title>
</cp:coreProperties>
</file>