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widowControl/>
        <w:jc w:val="start"/>
        <w:rPr>
          <w:rFonts w:ascii="Times New Roman" w:hAnsi="Times New Roman" w:eastAsia="Times New Roman" w:cs="Times New Roman"/>
        </w:rPr>
      </w:pPr>
      <w:r>
        <w:rPr>
          <w:rFonts w:eastAsia="Times New Roman" w:cs="Times New Roman" w:ascii="Times New Roman" w:hAnsi="Times New Roman"/>
        </w:rPr>
      </w:r>
    </w:p>
    <w:p>
      <w:pPr>
        <w:pStyle w:val="Date"/>
        <w:widowControl/>
        <w:jc w:val="start"/>
        <w:rPr>
          <w:rFonts w:ascii="Times New Roman" w:hAnsi="Times New Roman" w:eastAsia="Times New Roman" w:cs="Times New Roman"/>
        </w:rPr>
      </w:pPr>
      <w:r>
        <w:rPr>
          <w:rFonts w:eastAsia="Times New Roman" w:cs="Times New Roman" w:ascii="Times New Roman" w:hAnsi="Times New Roman"/>
        </w:rPr>
        <w:t>July 17, 2001</w:t>
      </w:r>
    </w:p>
    <w:p>
      <w:pPr>
        <w:pStyle w:val="zNames"/>
        <w:widowControl/>
        <w:rPr>
          <w:rFonts w:ascii="Times New Roman" w:hAnsi="Times New Roman" w:eastAsia="Times New Roman" w:cs="Times New Roman"/>
        </w:rPr>
      </w:pPr>
      <w:bookmarkStart w:id="0" w:name="AddName"/>
      <w:bookmarkEnd w:id="0"/>
      <w:r>
        <w:rPr>
          <w:rFonts w:eastAsia="Times New Roman" w:cs="Times New Roman" w:ascii="Times New Roman" w:hAnsi="Times New Roman"/>
        </w:rPr>
        <w:t>ALJ Christine M. Walwyn</w:t>
      </w:r>
    </w:p>
    <w:p>
      <w:pPr>
        <w:pStyle w:val="InsideAddress"/>
        <w:widowControl/>
        <w:rPr>
          <w:rFonts w:ascii="Times New Roman" w:hAnsi="Times New Roman" w:eastAsia="Times New Roman" w:cs="Times New Roman"/>
        </w:rPr>
      </w:pPr>
      <w:bookmarkStart w:id="1" w:name="InsideAdd"/>
      <w:bookmarkEnd w:id="1"/>
      <w:r>
        <w:rPr>
          <w:rFonts w:eastAsia="Times New Roman" w:cs="Times New Roman" w:ascii="Times New Roman" w:hAnsi="Times New Roman"/>
        </w:rPr>
        <w:t>California Public Utilities Commission</w:t>
      </w:r>
    </w:p>
    <w:p>
      <w:pPr>
        <w:pStyle w:val="InsideAddress"/>
        <w:widowControl/>
        <w:rPr>
          <w:rFonts w:ascii="Times New Roman" w:hAnsi="Times New Roman" w:eastAsia="Times New Roman" w:cs="Times New Roman"/>
        </w:rPr>
      </w:pPr>
      <w:r>
        <w:rPr>
          <w:rFonts w:eastAsia="Times New Roman" w:cs="Times New Roman" w:ascii="Times New Roman" w:hAnsi="Times New Roman"/>
        </w:rPr>
        <w:t>505 Van Ness Avenue, Room 5101</w:t>
      </w:r>
    </w:p>
    <w:p>
      <w:pPr>
        <w:pStyle w:val="Normal"/>
        <w:rPr/>
      </w:pPr>
      <w:r>
        <w:rPr/>
        <w:t>San Francisco, CA  94102</w:t>
      </w:r>
      <w:bookmarkStart w:id="2" w:name="Salutation"/>
      <w:bookmarkEnd w:id="2"/>
    </w:p>
    <w:p>
      <w:pPr>
        <w:pStyle w:val="Normal"/>
        <w:rPr/>
      </w:pPr>
      <w:r>
        <w:rPr/>
      </w:r>
    </w:p>
    <w:p>
      <w:pPr>
        <w:pStyle w:val="Normal"/>
        <w:rPr/>
      </w:pPr>
      <w:r>
        <w:rPr/>
        <w:t>Re:  A. 00-11-038, et al. – Request for Information</w:t>
      </w:r>
    </w:p>
    <w:p>
      <w:pPr>
        <w:pStyle w:val="Normal"/>
        <w:rPr/>
      </w:pPr>
      <w:r>
        <w:rPr/>
      </w:r>
    </w:p>
    <w:p>
      <w:pPr>
        <w:pStyle w:val="Normal"/>
        <w:rPr/>
      </w:pPr>
      <w:r>
        <w:rPr/>
        <w:t>Dear ALJ Walwyn:</w:t>
      </w:r>
    </w:p>
    <w:p>
      <w:pPr>
        <w:pStyle w:val="Normal"/>
        <w:rPr/>
      </w:pPr>
      <w:r>
        <w:rPr/>
      </w:r>
    </w:p>
    <w:p>
      <w:pPr>
        <w:pStyle w:val="Normal"/>
        <w:rPr/>
      </w:pPr>
      <w:bookmarkStart w:id="3" w:name="Start"/>
      <w:bookmarkEnd w:id="3"/>
      <w:r>
        <w:rPr/>
        <w:t xml:space="preserve">This letter updates PG&amp;E's June 15 letter to you.  As mentioned in that letter, PG&amp;E has identified the immediate need to challenge the authority of generators and marketers to make sales of wholesale power and ancillary services at market-based rates in California and throughout the West.  To that end, PG&amp;E continues to protest the existing or requested market-based rate authority at FERC. </w:t>
      </w:r>
    </w:p>
    <w:p>
      <w:pPr>
        <w:pStyle w:val="Normal"/>
        <w:rPr/>
      </w:pPr>
      <w:r>
        <w:rPr/>
      </w:r>
    </w:p>
    <w:p>
      <w:pPr>
        <w:pStyle w:val="Normal"/>
        <w:rPr/>
      </w:pPr>
      <w:r>
        <w:rPr/>
        <w:t>In addition to filing challenges to market based rate authority, PG&amp;E also participated in and supported the California parties’ delegation to the FERC settlement conference in EL00-95-031 from June 26 to July 9, 2001.  PG&amp;E  supported the California delegation in meetings with the Chief Judge, as well as by presenting the testimony of Dr. Carolyn Berry of NERA which described the economic intent of the June 19, 2001, FERC Order.  PG&amp;E's testimony indicated  how the estimates of overcharges by the ISO on the basis of either least cost dispatch or actual dispatch were consistent with the intent of the June 19 order, and were reasonable and verifiable ways of implementing that order.  In addition, PG&amp;E filed Comments and a Motion for Refunds on July 12, 2001, seeking refunds back through May 2000 and indicating the need for inclusion of all parties including public sellers.</w:t>
      </w:r>
    </w:p>
    <w:p>
      <w:pPr>
        <w:pStyle w:val="Normal"/>
        <w:rPr/>
      </w:pPr>
      <w:r>
        <w:rPr/>
      </w:r>
    </w:p>
    <w:p>
      <w:pPr>
        <w:pStyle w:val="Normal"/>
        <w:widowControl w:val="false"/>
        <w:rPr/>
      </w:pPr>
      <w:r>
        <w:rPr/>
        <w:t>This list does not include all compliance filings or changes made to PG&amp;E's transmission owner tariff or wholesale transmission contracts unrelated to generators.  PG&amp;E has not initiated condemnation proceedings against any generators, and has not brought any non-bankruptcy related court actions associated with the wholesale electric power markets.</w:t>
      </w:r>
    </w:p>
    <w:p>
      <w:pPr>
        <w:pStyle w:val="Closing"/>
        <w:keepNext w:val="false"/>
        <w:spacing w:before="0" w:after="0"/>
        <w:ind w:start="0" w:end="0"/>
        <w:rPr>
          <w:rFonts w:ascii="Times New Roman" w:hAnsi="Times New Roman" w:eastAsia="Times New Roman" w:cs="Times New Roman"/>
        </w:rPr>
      </w:pPr>
      <w:r>
        <w:rPr>
          <w:rFonts w:eastAsia="Times New Roman" w:cs="Times New Roman" w:ascii="Times New Roman" w:hAnsi="Times New Roman"/>
        </w:rPr>
      </w:r>
      <w:bookmarkStart w:id="4" w:name="Closing"/>
      <w:bookmarkStart w:id="5" w:name="Closing"/>
      <w:bookmarkEnd w:id="5"/>
    </w:p>
    <w:p>
      <w:pPr>
        <w:pStyle w:val="Closing"/>
        <w:keepNext w:val="false"/>
        <w:spacing w:before="0" w:after="0"/>
        <w:ind w:start="0" w:end="0"/>
        <w:rPr>
          <w:rFonts w:ascii="Times New Roman" w:hAnsi="Times New Roman" w:eastAsia="Times New Roman" w:cs="Times New Roman"/>
        </w:rPr>
      </w:pPr>
      <w:r>
        <w:rPr>
          <w:rFonts w:eastAsia="Times New Roman" w:cs="Times New Roman" w:ascii="Times New Roman" w:hAnsi="Times New Roman"/>
        </w:rPr>
        <w:t>Very truly yours,</w:t>
      </w:r>
    </w:p>
    <w:p>
      <w:pPr>
        <w:pStyle w:val="Closing"/>
        <w:keepNext w:val="false"/>
        <w:spacing w:before="0" w:after="0"/>
        <w:ind w:start="0" w:end="0"/>
        <w:rPr>
          <w:rFonts w:ascii="Times New Roman" w:hAnsi="Times New Roman" w:eastAsia="Times New Roman" w:cs="Times New Roman"/>
        </w:rPr>
      </w:pPr>
      <w:r>
        <w:rPr>
          <w:rFonts w:eastAsia="Times New Roman" w:cs="Times New Roman" w:ascii="Times New Roman" w:hAnsi="Times New Roman"/>
        </w:rPr>
      </w:r>
    </w:p>
    <w:p>
      <w:pPr>
        <w:pStyle w:val="Closing"/>
        <w:keepNext w:val="false"/>
        <w:spacing w:before="0" w:after="0"/>
        <w:ind w:start="0" w:end="0"/>
        <w:rPr>
          <w:rFonts w:ascii="Times New Roman" w:hAnsi="Times New Roman" w:eastAsia="Times New Roman" w:cs="Times New Roman"/>
        </w:rPr>
      </w:pPr>
      <w:r>
        <w:rPr>
          <w:rFonts w:eastAsia="Times New Roman" w:cs="Times New Roman" w:ascii="Times New Roman" w:hAnsi="Times New Roman"/>
        </w:rPr>
      </w:r>
    </w:p>
    <w:p>
      <w:pPr>
        <w:pStyle w:val="Closing"/>
        <w:keepNext w:val="false"/>
        <w:spacing w:before="0" w:after="0"/>
        <w:ind w:start="0" w:end="0"/>
        <w:rPr>
          <w:rFonts w:ascii="Times New Roman" w:hAnsi="Times New Roman" w:eastAsia="Times New Roman" w:cs="Times New Roman"/>
        </w:rPr>
      </w:pPr>
      <w:r>
        <w:rPr>
          <w:rFonts w:eastAsia="Times New Roman" w:cs="Times New Roman" w:ascii="Times New Roman" w:hAnsi="Times New Roman"/>
        </w:rPr>
      </w:r>
    </w:p>
    <w:p>
      <w:pPr>
        <w:pStyle w:val="Closing"/>
        <w:keepNext w:val="false"/>
        <w:spacing w:before="0" w:after="0"/>
        <w:ind w:start="0" w:end="0"/>
        <w:rPr>
          <w:rFonts w:ascii="Times New Roman" w:hAnsi="Times New Roman" w:eastAsia="Times New Roman" w:cs="Times New Roman"/>
        </w:rPr>
      </w:pPr>
      <w:bookmarkStart w:id="6" w:name="AuthorName"/>
      <w:bookmarkEnd w:id="6"/>
      <w:r>
        <w:rPr>
          <w:rFonts w:eastAsia="Times New Roman" w:cs="Times New Roman" w:ascii="Times New Roman" w:hAnsi="Times New Roman"/>
        </w:rPr>
        <w:t>MARK R. HUFFMAN</w:t>
      </w:r>
      <w:bookmarkStart w:id="7" w:name="AuthorInitials"/>
      <w:bookmarkEnd w:id="7"/>
    </w:p>
    <w:p>
      <w:pPr>
        <w:pStyle w:val="Closing"/>
        <w:keepNext w:val="false"/>
        <w:spacing w:before="0" w:after="0"/>
        <w:ind w:start="0" w:end="0"/>
        <w:rPr>
          <w:rFonts w:ascii="Times New Roman" w:hAnsi="Times New Roman" w:eastAsia="Times New Roman" w:cs="Times New Roman"/>
        </w:rPr>
      </w:pPr>
      <w:r>
        <w:rPr>
          <w:rFonts w:eastAsia="Times New Roman" w:cs="Times New Roman" w:ascii="Times New Roman" w:hAnsi="Times New Roman"/>
        </w:rPr>
        <w:t>MRH:pjd</w:t>
      </w:r>
    </w:p>
    <w:p>
      <w:pPr>
        <w:pStyle w:val="Closing"/>
        <w:keepNext w:val="false"/>
        <w:spacing w:before="0" w:after="0"/>
        <w:ind w:start="0" w:end="0"/>
        <w:rPr>
          <w:rFonts w:ascii="Times New Roman" w:hAnsi="Times New Roman" w:eastAsia="Times New Roman" w:cs="Times New Roman"/>
        </w:rPr>
      </w:pPr>
      <w:r>
        <w:rPr>
          <w:rFonts w:eastAsia="Times New Roman" w:cs="Times New Roman" w:ascii="Times New Roman" w:hAnsi="Times New Roman"/>
        </w:rPr>
        <w:t>cc:</w:t>
        <w:tab/>
        <w:t>All Parties of Record in A. 00-11-038, et al.</w:t>
      </w:r>
    </w:p>
    <w:p>
      <w:pPr>
        <w:pStyle w:val="Normal"/>
        <w:widowControl w:val="false"/>
        <w:rPr/>
      </w:pPr>
      <w:r>
        <w:rPr/>
        <w:t>Enclosure</w:t>
      </w:r>
    </w:p>
    <w:sectPr>
      <w:headerReference w:type="default" r:id="rId2"/>
      <w:headerReference w:type="first" r:id="rId3"/>
      <w:footerReference w:type="default" r:id="rId4"/>
      <w:footerReference w:type="first" r:id="rId5"/>
      <w:type w:val="nextPage"/>
      <w:pgSz w:w="12240" w:h="15840"/>
      <w:pgMar w:left="1296" w:right="1296" w:gutter="0" w:header="432" w:top="1440" w:footer="504"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NewCenturySchlbk">
    <w:altName w:val="Century Schoolbook"/>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szCs w:val="16"/>
      </w:rPr>
    </w:pPr>
    <w:r>
      <w:rPr>
        <w:sz w:val="16"/>
        <w:szCs w:val="16"/>
      </w:rPr>
    </w:r>
  </w:p>
  <w:p>
    <w:pPr>
      <w:pStyle w:val="Footer"/>
      <w:widowControl/>
      <w:rPr>
        <w:sz w:val="16"/>
        <w:szCs w:val="16"/>
      </w:rPr>
    </w:pPr>
    <w:r>
      <w:rPr>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p>
    <w:pPr>
      <w:pStyle w:val="Header"/>
      <w:widowControl/>
      <w:rPr/>
    </w:pPr>
    <w:r>
      <w:rPr/>
      <w:t xml:space="preserve">Page </w:t>
    </w:r>
    <w:r>
      <w:rPr/>
      <w:fldChar w:fldCharType="begin"/>
    </w:r>
    <w:r>
      <w:rPr/>
      <w:instrText xml:space="preserve"> PAGE </w:instrText>
    </w:r>
    <w:r>
      <w:rPr/>
      <w:fldChar w:fldCharType="separate"/>
    </w:r>
    <w:r>
      <w:rPr/>
      <w:t>0</w:t>
    </w:r>
    <w:r>
      <w:rPr/>
      <w:fldChar w:fldCharType="end"/>
    </w:r>
    <w:r>
      <w:rPr/>
      <w:t xml:space="preserve"> </w:t>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bCs/>
      <w:caps/>
    </w:rPr>
  </w:style>
  <w:style w:type="paragraph" w:styleId="Heading2">
    <w:name w:val="heading 2"/>
    <w:basedOn w:val="Heading1"/>
    <w:next w:val="BodyText"/>
    <w:qFormat/>
    <w:pPr>
      <w:keepNext w:val="false"/>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keepNext w:val="true"/>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eastAsia="Times New Roman" w:cs="Times New Roman"/>
      <w:spacing w:val="0"/>
      <w:kern w:val="0"/>
      <w:sz w:val="24"/>
      <w:szCs w:val="24"/>
      <w:u w:val="none"/>
      <w:vertAlign w:val="superscript"/>
    </w:rPr>
  </w:style>
  <w:style w:type="character" w:styleId="PageNumber">
    <w:name w:val="page number"/>
    <w:basedOn w:val="DefaultParagraphFont"/>
    <w:rPr>
      <w:rFonts w:ascii="Times New Roman" w:hAnsi="Times New Roman" w:eastAsia="Times New Roman" w:cs="Times New Roman"/>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Indent">
    <w:name w:val="Body Text Indent"/>
    <w:basedOn w:val="Normal"/>
    <w:next w:val="BodyTex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widowControl w:val="false"/>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bCs/>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 w:type="paragraph" w:styleId="Closing">
    <w:name w:val="Closing"/>
    <w:basedOn w:val="Normal"/>
    <w:qFormat/>
    <w:pPr>
      <w:keepNext w:val="true"/>
      <w:widowControl w:val="false"/>
      <w:spacing w:before="480" w:after="240"/>
      <w:ind w:hanging="0" w:start="4680" w:end="0"/>
    </w:pPr>
    <w:rPr>
      <w:rFonts w:ascii="NewCenturySchlbk;Century Schoolbook" w:hAnsi="NewCenturySchlbk;Century Schoolbook" w:eastAsia="NewCenturySchlbk;Century Schoolbook" w:cs="NewCenturySchlbk;Century Schoolbook"/>
    </w:rPr>
  </w:style>
  <w:style w:type="paragraph" w:styleId="Salutation">
    <w:name w:val="Salutation"/>
    <w:basedOn w:val="Normal"/>
    <w:next w:val="Normal"/>
    <w:qFormat/>
    <w:pPr>
      <w:widowControl w:val="false"/>
      <w:spacing w:lineRule="atLeast" w:line="240" w:before="480" w:after="0"/>
    </w:pPr>
    <w:rPr>
      <w:rFonts w:ascii="NewCenturySchlbk;Century Schoolbook" w:hAnsi="NewCenturySchlbk;Century Schoolbook" w:eastAsia="NewCenturySchlbk;Century Schoolbook" w:cs="NewCenturySchlbk;Century Schoolbook"/>
      <w:kern w:val="2"/>
    </w:rPr>
  </w:style>
  <w:style w:type="paragraph" w:styleId="Date">
    <w:name w:val="Date"/>
    <w:basedOn w:val="Normal"/>
    <w:next w:val="Normal"/>
    <w:qFormat/>
    <w:pPr>
      <w:widowControl w:val="false"/>
      <w:spacing w:before="0" w:after="480"/>
      <w:jc w:val="center"/>
    </w:pPr>
    <w:rPr>
      <w:rFonts w:ascii="NewCenturySchlbk;Century Schoolbook" w:hAnsi="NewCenturySchlbk;Century Schoolbook" w:eastAsia="NewCenturySchlbk;Century Schoolbook" w:cs="NewCenturySchlbk;Century Schoolbook"/>
      <w:kern w:val="2"/>
    </w:rPr>
  </w:style>
  <w:style w:type="paragraph" w:styleId="InsideAddress">
    <w:name w:val="Inside Address"/>
    <w:basedOn w:val="Normal"/>
    <w:qFormat/>
    <w:pPr>
      <w:widowControl w:val="false"/>
      <w:spacing w:lineRule="atLeast" w:line="240"/>
    </w:pPr>
    <w:rPr>
      <w:rFonts w:ascii="NewCenturySchlbk;Century Schoolbook" w:hAnsi="NewCenturySchlbk;Century Schoolbook" w:eastAsia="NewCenturySchlbk;Century Schoolbook" w:cs="NewCenturySchlbk;Century Schoolbook"/>
      <w:kern w:val="2"/>
    </w:rPr>
  </w:style>
  <w:style w:type="paragraph" w:styleId="zNames">
    <w:name w:val="zNames"/>
    <w:basedOn w:val="InsideAddress"/>
    <w:qFormat/>
    <w:pPr>
      <w:keepNext w:val="true"/>
      <w:keepLines/>
      <w:spacing w:lineRule="auto" w:line="240"/>
    </w:pPr>
    <w:rPr>
      <w:kern w:val="0"/>
    </w:rPr>
  </w:style>
  <w:style w:type="paragraph" w:styleId="zHeaderLogo">
    <w:name w:val="zHeaderLogo"/>
    <w:basedOn w:val="Normal"/>
    <w:next w:val="Normal"/>
    <w:qFormat/>
    <w:pPr>
      <w:widowControl w:val="false"/>
      <w:spacing w:before="120" w:after="0"/>
    </w:pPr>
    <w:rPr>
      <w:sz w:val="16"/>
      <w:szCs w:val="16"/>
    </w:rPr>
  </w:style>
  <w:style w:type="paragraph" w:styleId="zHeaderAuthorTitle">
    <w:name w:val="zHeaderAuthorTitle"/>
    <w:basedOn w:val="Normal"/>
    <w:qFormat/>
    <w:pPr>
      <w:widowControl w:val="false"/>
      <w:ind w:hanging="0" w:start="720" w:end="0"/>
    </w:pPr>
    <w:rPr>
      <w:color w:val="000000"/>
      <w:spacing w:val="-1"/>
      <w:sz w:val="18"/>
      <w:szCs w:val="18"/>
    </w:rPr>
  </w:style>
  <w:style w:type="paragraph" w:styleId="zHeaderAuthorName">
    <w:name w:val="zHeaderAuthorName"/>
    <w:basedOn w:val="Normal"/>
    <w:next w:val="zHeaderAuthorTitle"/>
    <w:qFormat/>
    <w:pPr>
      <w:widowControl w:val="false"/>
      <w:spacing w:before="240" w:after="29"/>
      <w:ind w:hanging="0" w:start="720" w:end="0"/>
    </w:pPr>
    <w:rPr>
      <w:b/>
      <w:bCs/>
      <w:color w:val="000000"/>
      <w:sz w:val="18"/>
      <w:szCs w:val="18"/>
    </w:rPr>
  </w:style>
  <w:style w:type="paragraph" w:styleId="zEnclosures">
    <w:name w:val="zEnclosures"/>
    <w:basedOn w:val="Normal"/>
    <w:next w:val="Normal"/>
    <w:qFormat/>
    <w:pPr>
      <w:keepNext w:val="true"/>
      <w:widowControl w:val="false"/>
      <w:spacing w:before="240" w:after="240"/>
    </w:pPr>
    <w:rPr>
      <w:rFonts w:ascii="NewCenturySchlbk;Century Schoolbook" w:hAnsi="NewCenturySchlbk;Century Schoolbook" w:eastAsia="NewCenturySchlbk;Century Schoolbook" w:cs="NewCenturySchlbk;Century Schoolbook"/>
    </w:rPr>
  </w:style>
  <w:style w:type="paragraph" w:styleId="zCC">
    <w:name w:val="zCC"/>
    <w:basedOn w:val="Normal"/>
    <w:next w:val="Normal"/>
    <w:qFormat/>
    <w:pPr>
      <w:keepLines/>
      <w:widowControl w:val="false"/>
      <w:ind w:hanging="576" w:start="576" w:end="0"/>
    </w:pPr>
    <w:rPr>
      <w:rFonts w:ascii="NewCenturySchlbk;Century Schoolbook" w:hAnsi="NewCenturySchlbk;Century Schoolbook" w:eastAsia="NewCenturySchlbk;Century Schoolbook" w:cs="NewCenturySchlbk;Century Schoolbook"/>
    </w:rPr>
  </w:style>
  <w:style w:type="paragraph" w:styleId="LetterText">
    <w:name w:val="Letter Text"/>
    <w:basedOn w:val="Normal"/>
    <w:qFormat/>
    <w:pPr>
      <w:widowControl w:val="false"/>
      <w:spacing w:before="240" w:after="0"/>
      <w:ind w:firstLine="720" w:start="0" w:end="0"/>
    </w:pPr>
    <w:rPr>
      <w:rFonts w:ascii="NewCenturySchlbk;Century Schoolbook" w:hAnsi="NewCenturySchlbk;Century Schoolbook" w:eastAsia="NewCenturySchlbk;Century Schoolbook" w:cs="NewCenturySchlbk;Century Schoolbook"/>
    </w:rPr>
  </w:style>
  <w:style w:type="paragraph" w:styleId="Re">
    <w:name w:val="Re:"/>
    <w:basedOn w:val="Normal"/>
    <w:next w:val="Normal"/>
    <w:qFormat/>
    <w:pPr>
      <w:widowControl w:val="false"/>
      <w:spacing w:before="480" w:after="0"/>
    </w:pPr>
    <w:rPr>
      <w:rFonts w:ascii="NewCenturySchlbk;Century Schoolbook" w:hAnsi="NewCenturySchlbk;Century Schoolbook" w:eastAsia="NewCenturySchlbk;Century Schoolbook" w:cs="NewCenturySchlbk;Century Schoolbook"/>
    </w:rPr>
  </w:style>
  <w:style w:type="paragraph" w:styleId="HeaderLeft">
    <w:name w:val="Header Left"/>
    <w:basedOn w:val="Header"/>
    <w:qFormat/>
    <w:pPr>
      <w:suppressLineNumbers/>
      <w:tabs>
        <w:tab w:val="clear" w:pos="4680"/>
        <w:tab w:val="clear" w:pos="9360"/>
        <w:tab w:val="center" w:pos="4824" w:leader="none"/>
        <w:tab w:val="right" w:pos="964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2001-07-17T19:39:00Z</dcterms:created>
  <dc:creator>Pam Dawson</dc:creator>
  <dc:description/>
  <dc:language>en-CA</dc:language>
  <cp:lastModifiedBy>Pam Dawson</cp:lastModifiedBy>
  <cp:lastPrinted>2001-07-17T14:40:00Z</cp:lastPrinted>
  <dcterms:modified xsi:type="dcterms:W3CDTF">2001-07-17T19:39:00Z</dcterms:modified>
  <cp:revision>2</cp:revision>
  <dc:subject/>
  <dc:title>March 15, 2001</dc:title>
</cp:coreProperties>
</file>