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80" w:after="0"/>
        <w:jc w:val="center"/>
        <w:rPr>
          <w:b/>
          <w:bCs/>
        </w:rPr>
      </w:pPr>
      <w:bookmarkStart w:id="0" w:name="PleadingCPUCModel"/>
      <w:bookmarkEnd w:id="0"/>
      <w:r>
        <w:rPr>
          <w:b/>
          <w:bCs/>
        </w:rPr>
        <w:t>BEFORE THE PUBLIC UTILITIES COMMISSION</w:t>
        <w:br/>
        <w:t>OF THE STATE OF CALIFORNIA</w:t>
      </w:r>
    </w:p>
    <w:p>
      <w:pPr>
        <w:pStyle w:val="Normal"/>
        <w:widowControl/>
        <w:rPr>
          <w:b/>
          <w:bCs/>
        </w:rPr>
      </w:pPr>
      <w:r>
        <w:rPr>
          <w:b/>
          <w:bCs/>
        </w:rPr>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widowControl/>
              <w:tabs>
                <w:tab w:val="clear" w:pos="720"/>
                <w:tab w:val="left" w:pos="1440" w:leader="none"/>
              </w:tabs>
              <w:rPr/>
            </w:pPr>
            <w:r>
              <w:rPr/>
              <w:t>Emergency Application Of PACIFIC GAS AND ELECTRIC COMPANY To Adopt a Rate Stabilization Plan</w:t>
            </w:r>
          </w:p>
          <w:p>
            <w:pPr>
              <w:pStyle w:val="Normal"/>
              <w:widowControl/>
              <w:tabs>
                <w:tab w:val="clear" w:pos="720"/>
                <w:tab w:val="left" w:pos="1440" w:leader="none"/>
              </w:tabs>
              <w:jc w:val="end"/>
              <w:rPr/>
            </w:pPr>
            <w:r>
              <w:rPr/>
              <w:t>(U 39 E)</w:t>
            </w:r>
          </w:p>
        </w:tc>
        <w:tc>
          <w:tcPr>
            <w:tcW w:w="4968" w:type="dxa"/>
            <w:tcBorders/>
          </w:tcPr>
          <w:p>
            <w:pPr>
              <w:pStyle w:val="Normal"/>
              <w:widowControl/>
              <w:snapToGrid w:val="false"/>
              <w:ind w:start="252" w:end="0"/>
              <w:rPr/>
            </w:pPr>
            <w:r>
              <w:rPr/>
            </w:r>
          </w:p>
          <w:p>
            <w:pPr>
              <w:pStyle w:val="Normal"/>
              <w:widowControl/>
              <w:ind w:start="252" w:end="0"/>
              <w:rPr/>
            </w:pPr>
            <w:r>
              <w:rPr/>
            </w:r>
          </w:p>
          <w:p>
            <w:pPr>
              <w:pStyle w:val="Normal"/>
              <w:widowControl/>
              <w:ind w:start="252" w:end="0"/>
              <w:rPr/>
            </w:pPr>
            <w:r>
              <w:rPr/>
              <w:t>Application No.</w:t>
            </w:r>
          </w:p>
          <w:p>
            <w:pPr>
              <w:pStyle w:val="Normal"/>
              <w:widowControl/>
              <w:ind w:start="252" w:end="0"/>
              <w:jc w:val="center"/>
              <w:rPr/>
            </w:pPr>
            <w:r>
              <w:rPr/>
            </w:r>
          </w:p>
          <w:p>
            <w:pPr>
              <w:pStyle w:val="Normal"/>
              <w:widowControl/>
              <w:ind w:start="252" w:end="0"/>
              <w:rPr/>
            </w:pPr>
            <w:r>
              <w:rPr/>
            </w:r>
          </w:p>
        </w:tc>
      </w:tr>
    </w:tbl>
    <w:p>
      <w:pPr>
        <w:pStyle w:val="Normal"/>
        <w:widowControl/>
        <w:rPr/>
      </w:pPr>
      <w:r>
        <w:rPr/>
      </w:r>
    </w:p>
    <w:p>
      <w:pPr>
        <w:pStyle w:val="Normal"/>
        <w:widowControl/>
        <w:rPr/>
      </w:pPr>
      <w:r>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t xml:space="preserve">EMERGENCY APPLICATION OF PACIFIC GAS AND ELECTRIC COMPANY </w:t>
      </w:r>
    </w:p>
    <w:p>
      <w:pPr>
        <w:pStyle w:val="WW-BodyText2"/>
        <w:widowControl/>
        <w:rPr>
          <w:rFonts w:ascii="Times New Roman" w:hAnsi="Times New Roman" w:eastAsia="Times New Roman" w:cs="Times New Roman"/>
        </w:rPr>
      </w:pPr>
      <w:r>
        <w:rPr>
          <w:rFonts w:eastAsia="Times New Roman" w:cs="Times New Roman" w:ascii="Times New Roman" w:hAnsi="Times New Roman"/>
        </w:rPr>
        <w:t xml:space="preserve">TO ADOPT A RATE STABILIZATION PLAN </w:t>
      </w:r>
    </w:p>
    <w:p>
      <w:pPr>
        <w:pStyle w:val="Normal"/>
        <w:widowControl/>
        <w:rPr>
          <w:rFonts w:ascii="Times New Roman" w:hAnsi="Times New Roman" w:eastAsia="Times New Roman" w:cs="Times New Roman"/>
        </w:rPr>
      </w:pPr>
      <w:r>
        <w:rPr>
          <w:rFonts w:eastAsia="Times New Roman" w:cs="Times New Roman"/>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ind w:start="3600" w:end="0"/>
        <w:rPr/>
      </w:pPr>
      <w:r>
        <w:rPr/>
        <w:t>CHRISTOPHER L. WARNER</w:t>
      </w:r>
    </w:p>
    <w:p>
      <w:pPr>
        <w:pStyle w:val="Normal"/>
        <w:widowControl/>
        <w:ind w:start="3600" w:end="0"/>
        <w:rPr/>
      </w:pPr>
      <w:r>
        <w:rPr/>
        <w:t>ANDREW L. NIVEN</w:t>
      </w:r>
    </w:p>
    <w:p>
      <w:pPr>
        <w:pStyle w:val="Normal"/>
        <w:widowControl/>
        <w:ind w:start="3600" w:end="0"/>
        <w:rPr/>
      </w:pPr>
      <w:r>
        <w:rPr/>
        <w:t>MARK R. HUFFMAN</w:t>
      </w:r>
    </w:p>
    <w:p>
      <w:pPr>
        <w:pStyle w:val="Normal"/>
        <w:widowControl/>
        <w:ind w:start="3600" w:end="0"/>
        <w:rPr/>
      </w:pPr>
      <w:r>
        <w:rPr/>
        <w:t>ADAM S. CHODOROW</w:t>
      </w:r>
    </w:p>
    <w:p>
      <w:pPr>
        <w:pStyle w:val="Normal"/>
        <w:widowControl/>
        <w:ind w:start="3600" w:end="0"/>
        <w:rPr/>
      </w:pPr>
      <w:r>
        <w:rPr/>
      </w:r>
    </w:p>
    <w:p>
      <w:pPr>
        <w:pStyle w:val="Normal"/>
        <w:widowControl/>
        <w:ind w:start="3600" w:end="0"/>
        <w:rPr/>
      </w:pPr>
      <w:r>
        <w:rPr/>
        <w:t>Law Department</w:t>
      </w:r>
    </w:p>
    <w:p>
      <w:pPr>
        <w:pStyle w:val="Normal"/>
        <w:widowControl/>
        <w:ind w:start="3600" w:end="0"/>
        <w:rPr/>
      </w:pPr>
      <w:r>
        <w:rPr/>
        <w:t>Pacific Gas and Electric Company</w:t>
      </w:r>
    </w:p>
    <w:p>
      <w:pPr>
        <w:pStyle w:val="Normal"/>
        <w:widowControl/>
        <w:ind w:start="3600" w:end="0"/>
        <w:rPr/>
      </w:pPr>
      <w:r>
        <w:rPr/>
        <w:t>Post Office Box 7442</w:t>
      </w:r>
    </w:p>
    <w:p>
      <w:pPr>
        <w:pStyle w:val="Normal"/>
        <w:widowControl/>
        <w:ind w:start="3600" w:end="0"/>
        <w:rPr/>
      </w:pPr>
      <w:r>
        <w:rPr/>
        <w:t>77 Beale Street</w:t>
      </w:r>
    </w:p>
    <w:p>
      <w:pPr>
        <w:pStyle w:val="Normal"/>
        <w:widowControl/>
        <w:ind w:start="3600" w:end="0"/>
        <w:rPr/>
      </w:pPr>
      <w:r>
        <w:rPr/>
        <w:t>San Francisco, CA  94120</w:t>
      </w:r>
    </w:p>
    <w:p>
      <w:pPr>
        <w:pStyle w:val="Normal"/>
        <w:widowControl/>
        <w:ind w:start="3600" w:end="0"/>
        <w:rPr/>
      </w:pPr>
      <w:r>
        <w:rPr/>
        <w:t>Telephone: (415) 973-3842</w:t>
      </w:r>
    </w:p>
    <w:p>
      <w:pPr>
        <w:pStyle w:val="Normal"/>
        <w:widowControl/>
        <w:ind w:start="3600" w:end="0"/>
        <w:rPr/>
      </w:pPr>
      <w:r>
        <w:rPr/>
        <w:t>Facsimile:  (415) 973-0516</w:t>
      </w:r>
    </w:p>
    <w:p>
      <w:pPr>
        <w:pStyle w:val="Normal"/>
        <w:widowControl/>
        <w:ind w:start="3600" w:end="0"/>
        <w:rPr/>
      </w:pPr>
      <w:r>
        <w:rPr/>
        <w:t>Internet:  mrh2@pge.com</w:t>
      </w:r>
    </w:p>
    <w:p>
      <w:pPr>
        <w:pStyle w:val="Normal"/>
        <w:widowControl/>
        <w:ind w:start="3600" w:end="0"/>
        <w:rPr/>
      </w:pPr>
      <w:r>
        <w:rPr/>
      </w:r>
    </w:p>
    <w:p>
      <w:pPr>
        <w:pStyle w:val="Normal"/>
        <w:widowControl/>
        <w:ind w:start="3600" w:end="0"/>
        <w:rPr/>
      </w:pPr>
      <w:r>
        <w:rPr/>
        <w:t>Attorneys for</w:t>
      </w:r>
    </w:p>
    <w:p>
      <w:pPr>
        <w:pStyle w:val="Normal"/>
        <w:widowControl/>
        <w:ind w:start="3600" w:end="0"/>
        <w:rPr/>
      </w:pPr>
      <w:r>
        <w:rPr/>
        <w:t>PACIFIC GAS AND ELECTRIC COMPANY</w:t>
      </w:r>
    </w:p>
    <w:p>
      <w:pPr>
        <w:pStyle w:val="Normal"/>
        <w:widowControl/>
        <w:ind w:start="3240" w:end="0"/>
        <w:rPr/>
      </w:pPr>
      <w:r>
        <w:rPr/>
      </w:r>
    </w:p>
    <w:p>
      <w:pPr>
        <w:sectPr>
          <w:headerReference w:type="default" r:id="rId2"/>
          <w:headerReference w:type="first" r:id="rId3"/>
          <w:footerReference w:type="default" r:id="rId4"/>
          <w:footerReference w:type="first" r:id="rId5"/>
          <w:type w:val="nextPage"/>
          <w:pgSz w:w="12240" w:h="15840"/>
          <w:pgMar w:left="1800" w:right="1296" w:gutter="0" w:header="432" w:top="1440" w:footer="360" w:bottom="864"/>
          <w:pgNumType w:start="1" w:fmt="decimal"/>
          <w:formProt w:val="false"/>
          <w:titlePg/>
          <w:textDirection w:val="lrTb"/>
        </w:sectPr>
        <w:pStyle w:val="Normal"/>
        <w:widowControl/>
        <w:rPr/>
      </w:pPr>
      <w:r>
        <w:rPr/>
        <w:fldChar w:fldCharType="begin"/>
      </w:r>
      <w:r>
        <w:rPr/>
        <w:instrText xml:space="preserve"> DATE \@"MMMM\ d', 'yyyy" </w:instrText>
      </w:r>
      <w:r>
        <w:rPr/>
        <w:fldChar w:fldCharType="separate"/>
      </w:r>
      <w:r>
        <w:rPr/>
        <w:t>September 28, 2025</w:t>
      </w:r>
      <w:r>
        <w:rPr/>
        <w:fldChar w:fldCharType="end"/>
      </w:r>
    </w:p>
    <w:p>
      <w:pPr>
        <w:pStyle w:val="WW-BodyText2"/>
        <w:widowControl/>
        <w:rPr>
          <w:rFonts w:ascii="Times New Roman" w:hAnsi="Times New Roman" w:eastAsia="Times New Roman" w:cs="Times New Roman"/>
        </w:rPr>
      </w:pPr>
      <w:r>
        <w:rPr>
          <w:rFonts w:eastAsia="Times New Roman" w:cs="Times New Roman" w:ascii="Times New Roman" w:hAnsi="Times New Roman"/>
        </w:rPr>
        <w:t>BEFORE THE PUBLIC UTILITIES COMMISSION</w:t>
        <w:br/>
        <w:t>OF THE STATE OF CALIFORNIA</w:t>
      </w:r>
    </w:p>
    <w:p>
      <w:pPr>
        <w:pStyle w:val="Normal"/>
        <w:widowControl/>
        <w:rPr>
          <w:rFonts w:ascii="Times New Roman" w:hAnsi="Times New Roman" w:eastAsia="Times New Roman" w:cs="Times New Roman"/>
        </w:rPr>
      </w:pPr>
      <w:r>
        <w:rPr>
          <w:rFonts w:eastAsia="Times New Roman" w:cs="Times New Roman"/>
        </w:rPr>
      </w:r>
    </w:p>
    <w:p>
      <w:pPr>
        <w:pStyle w:val="Normal"/>
        <w:widowContro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widowControl/>
              <w:tabs>
                <w:tab w:val="clear" w:pos="720"/>
                <w:tab w:val="left" w:pos="1440" w:leader="none"/>
              </w:tabs>
              <w:rPr/>
            </w:pPr>
            <w:r>
              <w:rPr/>
              <w:t xml:space="preserve">Emergency Application  Of PACIFIC GAS AND ELECTRIC COMPANY To Adopt a Rate Stabilization Plan </w:t>
            </w:r>
          </w:p>
          <w:p>
            <w:pPr>
              <w:pStyle w:val="Normal"/>
              <w:widowControl/>
              <w:tabs>
                <w:tab w:val="clear" w:pos="720"/>
                <w:tab w:val="left" w:pos="1440" w:leader="none"/>
              </w:tabs>
              <w:rPr/>
            </w:pPr>
            <w:r>
              <w:rPr/>
            </w:r>
          </w:p>
          <w:p>
            <w:pPr>
              <w:pStyle w:val="Normal"/>
              <w:widowControl/>
              <w:tabs>
                <w:tab w:val="clear" w:pos="720"/>
                <w:tab w:val="left" w:pos="1440" w:leader="none"/>
              </w:tabs>
              <w:jc w:val="end"/>
              <w:rPr/>
            </w:pPr>
            <w:r>
              <w:rPr/>
              <w:t>(U 39 E)</w:t>
            </w:r>
          </w:p>
        </w:tc>
        <w:tc>
          <w:tcPr>
            <w:tcW w:w="4968" w:type="dxa"/>
            <w:tcBorders/>
          </w:tcPr>
          <w:p>
            <w:pPr>
              <w:pStyle w:val="Normal"/>
              <w:widowControl/>
              <w:snapToGrid w:val="false"/>
              <w:ind w:start="252" w:end="0"/>
              <w:rPr/>
            </w:pPr>
            <w:r>
              <w:rPr/>
            </w:r>
          </w:p>
          <w:p>
            <w:pPr>
              <w:pStyle w:val="Normal"/>
              <w:widowControl/>
              <w:ind w:start="252" w:end="0"/>
              <w:rPr/>
            </w:pPr>
            <w:r>
              <w:rPr/>
            </w:r>
          </w:p>
          <w:p>
            <w:pPr>
              <w:pStyle w:val="Normal"/>
              <w:widowControl/>
              <w:ind w:start="252" w:end="0"/>
              <w:rPr/>
            </w:pPr>
            <w:r>
              <w:rPr/>
              <w:t>Application No.</w:t>
            </w:r>
          </w:p>
          <w:p>
            <w:pPr>
              <w:pStyle w:val="Normal"/>
              <w:widowControl/>
              <w:ind w:start="252" w:end="0"/>
              <w:jc w:val="center"/>
              <w:rPr/>
            </w:pPr>
            <w:r>
              <w:rPr/>
            </w:r>
          </w:p>
          <w:p>
            <w:pPr>
              <w:pStyle w:val="Normal"/>
              <w:widowControl/>
              <w:ind w:start="252" w:end="0"/>
              <w:rPr/>
            </w:pPr>
            <w:r>
              <w:rPr/>
            </w:r>
          </w:p>
        </w:tc>
      </w:tr>
    </w:tbl>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t xml:space="preserve">EMERGENCY APPLICATION OF PACIFIC GAS AND ELECTRIC COMPANY </w:t>
      </w:r>
    </w:p>
    <w:p>
      <w:pPr>
        <w:pStyle w:val="WW-BodyText2"/>
        <w:widowControl/>
        <w:rPr>
          <w:rFonts w:ascii="Times New Roman" w:hAnsi="Times New Roman" w:eastAsia="Times New Roman" w:cs="Times New Roman"/>
        </w:rPr>
      </w:pPr>
      <w:r>
        <w:rPr>
          <w:rFonts w:eastAsia="Times New Roman" w:cs="Times New Roman" w:ascii="Times New Roman" w:hAnsi="Times New Roman"/>
        </w:rPr>
        <w:t xml:space="preserve">TO ADOPT A RATE STABILIZATION PLAN </w:t>
      </w:r>
    </w:p>
    <w:p>
      <w:pPr>
        <w:pStyle w:val="Normal"/>
        <w:widowControl/>
        <w:jc w:val="center"/>
        <w:rPr>
          <w:rFonts w:ascii="Times New Roman" w:hAnsi="Times New Roman" w:eastAsia="Times New Roman" w:cs="Times New Roman"/>
          <w:b/>
          <w:bCs/>
        </w:rPr>
      </w:pPr>
      <w:r>
        <w:rPr>
          <w:rFonts w:eastAsia="Times New Roman" w:cs="Times New Roman"/>
          <w:b/>
          <w:bCs/>
        </w:rPr>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introduction</w:t>
      </w:r>
    </w:p>
    <w:p>
      <w:pPr>
        <w:pStyle w:val="BodyText"/>
        <w:rPr/>
      </w:pPr>
      <w:r>
        <w:rPr/>
        <w:t xml:space="preserve">Pursuant to Sections 368 and 454 of the Public Utilities Code and Rules 15 and 23 of the California Public Utilities Commission’s (Commission or CPUC) Rules of Practice and Procedure, Pacific Gas and Electric Company (PG&amp;E) files this application for approval of a Rate Stabilization Plan (RSP).  </w:t>
      </w:r>
    </w:p>
    <w:p>
      <w:pPr>
        <w:pStyle w:val="BodyText"/>
        <w:rPr/>
      </w:pPr>
      <w:r>
        <w:rPr/>
        <w:t>The purpose of PG&amp;E’s Rate Stabilization Plan is to protect customers from the “rate shock” of high wholesale electricity costs at the end of the Assembly Bill (AB) 1890 rate freeze, while at the same time allowing PG&amp;E to recover those costs over a five year period.  If adopted, PG&amp;E’s RSP will cushion the impact of volatile wholesale power prices for customers while maintaining the Company’s financial viability during the current California electricity crisis.</w:t>
      </w:r>
    </w:p>
    <w:p>
      <w:pPr>
        <w:pStyle w:val="BodyText"/>
        <w:rPr/>
      </w:pPr>
      <w:r>
        <w:rPr/>
        <w:t xml:space="preserve">PG&amp;E is proposing to adopt an initial electric commodity rate cap comparable to the 6.5 cents/kWh electric commodity cap adopted by the California Legislature for San Diego Gas and Electric Company (SDG&amp;E) last summer.  This initial rate cap would increase bundled electric rates an average of 22.4 percent, effective January 1, 2001.  Without this rate cap, all customers would be exposed to volatile wholesale electric prices that are currently more than 200 percent what they were just one year ago, and which skyrocketed to more than 400 percent above their previous levels during the past summer.  </w:t>
      </w:r>
    </w:p>
    <w:p>
      <w:pPr>
        <w:pStyle w:val="BodyText"/>
        <w:rPr/>
      </w:pPr>
      <w:r>
        <w:rPr/>
        <w:t xml:space="preserve">The magnitude of PG&amp;E’s ongoing financial emergency is by now well known to the Commission.  Simply put, PG&amp;E’s ability to continue to finance the massive mismatch between wholesale electricity prices and the retail rates being collected is rapidly coming to an end.  PG&amp;E must have immediate rate relief to continue to finance its ongoing power costs over the near term. For this reason, PG&amp;E requests that its proposed RSP rates and tariffs be adopted by January 1, 2001 on an interim </w:t>
      </w:r>
      <w:r>
        <w:rPr>
          <w:i/>
          <w:iCs/>
        </w:rPr>
        <w:t>ex parte</w:t>
      </w:r>
      <w:r>
        <w:rPr/>
        <w:t xml:space="preserve"> basis, subject to refund, and that the Commission approve this Application by no later than March 31, 2001.  PG&amp;E also requests that its RSP rates and tariffs supersede the end-of-freeze (EOF) tariffs it is filing concurrently as required by Commission decisions and law.</w:t>
      </w:r>
      <w:r>
        <w:rPr>
          <w:rStyle w:val="FootnoteCharacters"/>
          <w:rStyle w:val="FootnoteReference"/>
        </w:rPr>
        <w:footnoteReference w:id="2"/>
      </w:r>
      <w:r>
        <w:rPr>
          <w:vertAlign w:val="superscript"/>
        </w:rPr>
        <w:t>/</w:t>
      </w:r>
      <w:r>
        <w:rPr/>
        <w:t xml:space="preserve"> </w:t>
      </w:r>
    </w:p>
    <w:p>
      <w:pPr>
        <w:pStyle w:val="Heading1"/>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PG&amp;E’S RATE STABILIZATION PLAN AND THE CURRENT energy CRISIS</w:t>
      </w:r>
    </w:p>
    <w:p>
      <w:pPr>
        <w:pStyle w:val="BodyText"/>
        <w:rPr/>
      </w:pPr>
      <w:r>
        <w:rPr/>
        <w:t>This is an extraordinary application, brought on by an extraordinary and unforeseen crisis in wholesale and retail electric power markets in California.  PG&amp;E and its customers continue to face a deepening regulatory and financial crisis over the massive mountain of debt PG&amp;E is incurring to buy power in wholesale markets to serve its customers.  Despite the cooler fall weather, wholesale electricity prices remain sky high, with no immediate relief in sight, either in the marketplace or from regulators.</w:t>
      </w:r>
      <w:r>
        <w:rPr>
          <w:rStyle w:val="FootnoteCharacters"/>
          <w:rStyle w:val="FootnoteReference"/>
        </w:rPr>
        <w:footnoteReference w:id="3"/>
      </w:r>
      <w:r>
        <w:rPr>
          <w:vertAlign w:val="superscript"/>
        </w:rPr>
        <w:t>/</w:t>
      </w:r>
      <w:r>
        <w:rPr/>
        <w:t xml:space="preserve">  PG&amp;E’s undercollected power costs under the AB 1890 rate freeze soared from $2.2 billion at the end of August, 2000, to over $3.4 billion at the end of October, 2000.  Put in perspective, from the beginning of June 2000, PG&amp;E has been paying an average of about </w:t>
      </w:r>
      <w:r>
        <w:rPr>
          <w:u w:val="single"/>
        </w:rPr>
        <w:t>one million dollars more per hour, 24 hours per day</w:t>
      </w:r>
      <w:r>
        <w:rPr/>
        <w:t xml:space="preserve">, than it has been allowed to collect to provide service to its customers.  This rapid and continuing buildup in uncollected costs has been unlike any event since the oil price shocks of the 1970s, and in five short months has </w:t>
      </w:r>
      <w:r>
        <w:rPr>
          <w:u w:val="single"/>
        </w:rPr>
        <w:t xml:space="preserve">exceeded nearly all of PG&amp;E’s utility earnings combined from 1996 to the present. </w:t>
      </w:r>
      <w:r>
        <w:rPr/>
        <w:t xml:space="preserve"> The current undercollection is equivalent to over 60 percent of PG&amp;E’s shareholder equity.</w:t>
      </w:r>
    </w:p>
    <w:p>
      <w:pPr>
        <w:pStyle w:val="BodyText"/>
        <w:rPr/>
      </w:pPr>
      <w:r>
        <w:rPr/>
        <w:t>Despite the dire financial straits it finds itself in, from the beginning of the electricity crisis PG&amp;E consistently has promised to shield its customers from the rate shocks experienced by San Diego residents this summer.  This RSP application delivers on that promise, by holding the line on wholesale power costs our customers must pay, until state and federal officials can fix the broken wholesale electricity markets and start to repair the current supply and demand imbalance.</w:t>
      </w:r>
    </w:p>
    <w:p>
      <w:pPr>
        <w:pStyle w:val="BodyText"/>
        <w:rPr/>
      </w:pPr>
      <w:r>
        <w:rPr/>
        <w:t>PG&amp;E is voluntarily proposing its five-year RSP which will hold power costs lower than current wholesale electricity prices, and protect customers from very volatile wholesale prices going forward.  Beginning on January 1, 2001, electric commodity rates for all but PG&amp;E’s customers on Schedules S, E-19 mandatory (greater than 500 kW), E-20 and E-25 would be set at just under 6.5 cents per kWh, compared to the wholesale cost of 13.6 cents/kWh PG&amp;E paid during October 2000 and the 18.7 cents/kWh paid during the peak summer month of August, 2000.  Under PG&amp;E’s RPS, an average (i.e., estimated annual average) residential customer using 500 kWh per month will receive electric bills that will average $63.59 per month, compared to $78.00 per month if the CPUC lifted the rate freeze without PG&amp;E’s plan in place.  (Current residential electric bills average $54.52 per month, at the frozen rates.)</w:t>
      </w:r>
    </w:p>
    <w:p>
      <w:pPr>
        <w:pStyle w:val="BodyText"/>
        <w:rPr/>
      </w:pPr>
      <w:r>
        <w:rPr/>
        <w:t xml:space="preserve">To provide extra protection to low-income customers, PG&amp;E is proposing an immediate increase--from 15 percent to 25 percent--in the discount provided to customers who participate in the California Alternative Rates for Energy (CARE) program.  </w:t>
      </w:r>
    </w:p>
    <w:p>
      <w:pPr>
        <w:pStyle w:val="BodyText"/>
        <w:rPr/>
      </w:pPr>
      <w:r>
        <w:rPr/>
        <w:t>To quantify more directly the benefits of PG&amp;E’s proposed Rate Stabilization Plan, the following table compares the average monthly “unstabilized” cost to procure power  for customers in 1999 and 2000.</w:t>
      </w:r>
    </w:p>
    <w:p>
      <w:pPr>
        <w:pStyle w:val="TableCaption"/>
        <w:suppressLineNumbers/>
        <w:rPr/>
      </w:pPr>
      <w:r>
        <w:rPr/>
        <w:t>Monthly Average unstabilized WHOLESALE POWER COSTS</w:t>
      </w:r>
      <w:r>
        <w:rPr>
          <w:color w:val="0000FF"/>
        </w:rPr>
        <w:t xml:space="preserve"> </w:t>
      </w:r>
    </w:p>
    <w:tbl>
      <w:tblPr>
        <w:tblW w:w="7184" w:type="dxa"/>
        <w:jc w:val="center"/>
        <w:tblInd w:w="0" w:type="dxa"/>
        <w:tblLayout w:type="fixed"/>
        <w:tblCellMar>
          <w:top w:w="0" w:type="dxa"/>
          <w:start w:w="108" w:type="dxa"/>
          <w:bottom w:w="0" w:type="dxa"/>
          <w:end w:w="108" w:type="dxa"/>
        </w:tblCellMar>
      </w:tblPr>
      <w:tblGrid>
        <w:gridCol w:w="704"/>
        <w:gridCol w:w="2160"/>
        <w:gridCol w:w="1440"/>
        <w:gridCol w:w="1440"/>
        <w:gridCol w:w="1440"/>
      </w:tblGrid>
      <w:tr>
        <w:trPr/>
        <w:tc>
          <w:tcPr>
            <w:tcW w:w="704" w:type="dxa"/>
            <w:tcBorders/>
          </w:tcPr>
          <w:p>
            <w:pPr>
              <w:pStyle w:val="Table"/>
              <w:jc w:val="center"/>
              <w:rPr/>
            </w:pPr>
            <w:r>
              <w:rPr/>
              <w:t>Line</w:t>
            </w:r>
          </w:p>
        </w:tc>
        <w:tc>
          <w:tcPr>
            <w:tcW w:w="2160" w:type="dxa"/>
            <w:tcBorders/>
          </w:tcPr>
          <w:p>
            <w:pPr>
              <w:pStyle w:val="Table"/>
              <w:snapToGrid w:val="false"/>
              <w:jc w:val="center"/>
              <w:rPr/>
            </w:pPr>
            <w:r>
              <w:rPr/>
            </w:r>
          </w:p>
        </w:tc>
        <w:tc>
          <w:tcPr>
            <w:tcW w:w="1440" w:type="dxa"/>
            <w:tcBorders/>
          </w:tcPr>
          <w:p>
            <w:pPr>
              <w:pStyle w:val="Table"/>
              <w:snapToGrid w:val="false"/>
              <w:jc w:val="center"/>
              <w:rPr/>
            </w:pPr>
            <w:r>
              <w:rPr/>
            </w:r>
          </w:p>
        </w:tc>
        <w:tc>
          <w:tcPr>
            <w:tcW w:w="1440" w:type="dxa"/>
            <w:tcBorders/>
          </w:tcPr>
          <w:p>
            <w:pPr>
              <w:pStyle w:val="Table"/>
              <w:snapToGrid w:val="false"/>
              <w:jc w:val="center"/>
              <w:rPr/>
            </w:pPr>
            <w:r>
              <w:rPr/>
            </w:r>
          </w:p>
        </w:tc>
        <w:tc>
          <w:tcPr>
            <w:tcW w:w="1440" w:type="dxa"/>
            <w:tcBorders/>
          </w:tcPr>
          <w:p>
            <w:pPr>
              <w:pStyle w:val="Table"/>
              <w:snapToGrid w:val="false"/>
              <w:jc w:val="center"/>
              <w:rPr/>
            </w:pPr>
            <w:r>
              <w:rPr/>
            </w:r>
          </w:p>
        </w:tc>
      </w:tr>
      <w:tr>
        <w:trPr/>
        <w:tc>
          <w:tcPr>
            <w:tcW w:w="704" w:type="dxa"/>
            <w:tcBorders/>
          </w:tcPr>
          <w:p>
            <w:pPr>
              <w:pStyle w:val="Table"/>
              <w:pBdr>
                <w:bottom w:val="single" w:sz="6" w:space="1" w:color="000000"/>
              </w:pBdr>
              <w:jc w:val="center"/>
              <w:rPr/>
            </w:pPr>
            <w:r>
              <w:rPr/>
              <w:t>No.</w:t>
            </w:r>
          </w:p>
        </w:tc>
        <w:tc>
          <w:tcPr>
            <w:tcW w:w="2160" w:type="dxa"/>
            <w:tcBorders/>
          </w:tcPr>
          <w:p>
            <w:pPr>
              <w:pStyle w:val="Table"/>
              <w:snapToGrid w:val="false"/>
              <w:jc w:val="center"/>
              <w:rPr/>
            </w:pPr>
            <w:r>
              <w:rPr/>
            </w:r>
          </w:p>
        </w:tc>
        <w:tc>
          <w:tcPr>
            <w:tcW w:w="1440" w:type="dxa"/>
            <w:tcBorders/>
          </w:tcPr>
          <w:p>
            <w:pPr>
              <w:pStyle w:val="Table"/>
              <w:pBdr>
                <w:bottom w:val="single" w:sz="6" w:space="1" w:color="000000"/>
              </w:pBdr>
              <w:jc w:val="center"/>
              <w:rPr/>
            </w:pPr>
            <w:r>
              <w:rPr/>
              <w:t>1999</w:t>
            </w:r>
          </w:p>
        </w:tc>
        <w:tc>
          <w:tcPr>
            <w:tcW w:w="1440" w:type="dxa"/>
            <w:tcBorders/>
          </w:tcPr>
          <w:p>
            <w:pPr>
              <w:pStyle w:val="Table"/>
              <w:pBdr>
                <w:bottom w:val="single" w:sz="6" w:space="1" w:color="000000"/>
              </w:pBdr>
              <w:jc w:val="center"/>
              <w:rPr/>
            </w:pPr>
            <w:r>
              <w:rPr/>
              <w:t>2000</w:t>
            </w:r>
          </w:p>
        </w:tc>
        <w:tc>
          <w:tcPr>
            <w:tcW w:w="1440" w:type="dxa"/>
            <w:tcBorders/>
          </w:tcPr>
          <w:p>
            <w:pPr>
              <w:pStyle w:val="Table"/>
              <w:pBdr>
                <w:bottom w:val="single" w:sz="6" w:space="1" w:color="000000"/>
              </w:pBdr>
              <w:jc w:val="center"/>
              <w:rPr/>
            </w:pPr>
            <w:r>
              <w:rPr/>
              <w:t>Increase</w:t>
            </w:r>
          </w:p>
        </w:tc>
      </w:tr>
      <w:tr>
        <w:trPr/>
        <w:tc>
          <w:tcPr>
            <w:tcW w:w="704" w:type="dxa"/>
            <w:tcBorders/>
          </w:tcPr>
          <w:p>
            <w:pPr>
              <w:pStyle w:val="Table"/>
              <w:snapToGrid w:val="false"/>
              <w:jc w:val="center"/>
              <w:rPr/>
            </w:pPr>
            <w:r>
              <w:rPr/>
            </w:r>
          </w:p>
        </w:tc>
        <w:tc>
          <w:tcPr>
            <w:tcW w:w="2160" w:type="dxa"/>
            <w:tcBorders/>
          </w:tcPr>
          <w:p>
            <w:pPr>
              <w:pStyle w:val="Table"/>
              <w:snapToGrid w:val="false"/>
              <w:jc w:val="center"/>
              <w:rPr/>
            </w:pPr>
            <w:r>
              <w:rPr/>
            </w:r>
          </w:p>
        </w:tc>
        <w:tc>
          <w:tcPr>
            <w:tcW w:w="1440" w:type="dxa"/>
            <w:tcBorders/>
          </w:tcPr>
          <w:p>
            <w:pPr>
              <w:pStyle w:val="Table"/>
              <w:jc w:val="center"/>
              <w:rPr/>
            </w:pPr>
            <w:r>
              <w:rPr/>
              <w:t>(cents/kWh)</w:t>
            </w:r>
          </w:p>
        </w:tc>
        <w:tc>
          <w:tcPr>
            <w:tcW w:w="1440" w:type="dxa"/>
            <w:tcBorders/>
          </w:tcPr>
          <w:p>
            <w:pPr>
              <w:pStyle w:val="Table"/>
              <w:jc w:val="center"/>
              <w:rPr/>
            </w:pPr>
            <w:r>
              <w:rPr/>
              <w:t>(cents/kWh)</w:t>
            </w:r>
          </w:p>
        </w:tc>
        <w:tc>
          <w:tcPr>
            <w:tcW w:w="1440" w:type="dxa"/>
            <w:tcBorders/>
          </w:tcPr>
          <w:p>
            <w:pPr>
              <w:pStyle w:val="Table"/>
              <w:snapToGrid w:val="false"/>
              <w:jc w:val="center"/>
              <w:rPr/>
            </w:pPr>
            <w:r>
              <w:rPr/>
            </w:r>
          </w:p>
        </w:tc>
      </w:tr>
      <w:tr>
        <w:trPr/>
        <w:tc>
          <w:tcPr>
            <w:tcW w:w="704" w:type="dxa"/>
            <w:tcBorders/>
          </w:tcPr>
          <w:p>
            <w:pPr>
              <w:pStyle w:val="Table-FirstRow"/>
              <w:spacing w:before="120" w:after="0"/>
              <w:jc w:val="center"/>
              <w:rPr/>
            </w:pPr>
            <w:r>
              <w:rPr/>
              <w:t>1</w:t>
            </w:r>
          </w:p>
        </w:tc>
        <w:tc>
          <w:tcPr>
            <w:tcW w:w="2160" w:type="dxa"/>
            <w:tcBorders/>
          </w:tcPr>
          <w:p>
            <w:pPr>
              <w:pStyle w:val="Table-FirstRow"/>
              <w:spacing w:before="120" w:after="0"/>
              <w:rPr/>
            </w:pPr>
            <w:r>
              <w:rPr/>
              <w:t>January</w:t>
            </w:r>
          </w:p>
        </w:tc>
        <w:tc>
          <w:tcPr>
            <w:tcW w:w="1440" w:type="dxa"/>
            <w:tcBorders/>
          </w:tcPr>
          <w:p>
            <w:pPr>
              <w:pStyle w:val="Table-FirstRow"/>
              <w:tabs>
                <w:tab w:val="clear" w:pos="720"/>
                <w:tab w:val="decimal" w:pos="522" w:leader="none"/>
              </w:tabs>
              <w:spacing w:before="120" w:after="0"/>
              <w:rPr/>
            </w:pPr>
            <w:r>
              <w:rPr/>
              <w:t>3.15</w:t>
            </w:r>
          </w:p>
        </w:tc>
        <w:tc>
          <w:tcPr>
            <w:tcW w:w="1440" w:type="dxa"/>
            <w:tcBorders/>
          </w:tcPr>
          <w:p>
            <w:pPr>
              <w:pStyle w:val="Table-FirstRow"/>
              <w:tabs>
                <w:tab w:val="clear" w:pos="720"/>
                <w:tab w:val="decimal" w:pos="522" w:leader="none"/>
              </w:tabs>
              <w:spacing w:before="120" w:after="0"/>
              <w:rPr/>
            </w:pPr>
            <w:r>
              <w:rPr/>
              <w:t>4.38</w:t>
            </w:r>
          </w:p>
        </w:tc>
        <w:tc>
          <w:tcPr>
            <w:tcW w:w="1440" w:type="dxa"/>
            <w:tcBorders/>
          </w:tcPr>
          <w:p>
            <w:pPr>
              <w:pStyle w:val="Table-FirstRow"/>
              <w:tabs>
                <w:tab w:val="clear" w:pos="720"/>
                <w:tab w:val="decimal" w:pos="702" w:leader="none"/>
              </w:tabs>
              <w:spacing w:before="120" w:after="0"/>
              <w:rPr/>
            </w:pPr>
            <w:r>
              <w:rPr/>
              <w:t>39%</w:t>
            </w:r>
          </w:p>
        </w:tc>
      </w:tr>
      <w:tr>
        <w:trPr/>
        <w:tc>
          <w:tcPr>
            <w:tcW w:w="704" w:type="dxa"/>
            <w:tcBorders/>
          </w:tcPr>
          <w:p>
            <w:pPr>
              <w:pStyle w:val="Table"/>
              <w:jc w:val="center"/>
              <w:rPr/>
            </w:pPr>
            <w:r>
              <w:rPr/>
              <w:t>2</w:t>
            </w:r>
          </w:p>
        </w:tc>
        <w:tc>
          <w:tcPr>
            <w:tcW w:w="2160" w:type="dxa"/>
            <w:tcBorders/>
          </w:tcPr>
          <w:p>
            <w:pPr>
              <w:pStyle w:val="Table"/>
              <w:rPr/>
            </w:pPr>
            <w:r>
              <w:rPr/>
              <w:t>February</w:t>
            </w:r>
          </w:p>
        </w:tc>
        <w:tc>
          <w:tcPr>
            <w:tcW w:w="1440" w:type="dxa"/>
            <w:tcBorders/>
          </w:tcPr>
          <w:p>
            <w:pPr>
              <w:pStyle w:val="Table"/>
              <w:tabs>
                <w:tab w:val="clear" w:pos="720"/>
                <w:tab w:val="decimal" w:pos="522" w:leader="none"/>
              </w:tabs>
              <w:rPr/>
            </w:pPr>
            <w:r>
              <w:rPr/>
              <w:t>2.87</w:t>
            </w:r>
          </w:p>
        </w:tc>
        <w:tc>
          <w:tcPr>
            <w:tcW w:w="1440" w:type="dxa"/>
            <w:tcBorders/>
          </w:tcPr>
          <w:p>
            <w:pPr>
              <w:pStyle w:val="Table"/>
              <w:tabs>
                <w:tab w:val="clear" w:pos="720"/>
                <w:tab w:val="decimal" w:pos="522" w:leader="none"/>
              </w:tabs>
              <w:rPr/>
            </w:pPr>
            <w:r>
              <w:rPr/>
              <w:t>3.78</w:t>
            </w:r>
          </w:p>
        </w:tc>
        <w:tc>
          <w:tcPr>
            <w:tcW w:w="1440" w:type="dxa"/>
            <w:tcBorders/>
          </w:tcPr>
          <w:p>
            <w:pPr>
              <w:pStyle w:val="Table"/>
              <w:tabs>
                <w:tab w:val="clear" w:pos="720"/>
                <w:tab w:val="decimal" w:pos="702" w:leader="none"/>
              </w:tabs>
              <w:rPr/>
            </w:pPr>
            <w:r>
              <w:rPr/>
              <w:t>32%</w:t>
            </w:r>
          </w:p>
        </w:tc>
      </w:tr>
      <w:tr>
        <w:trPr/>
        <w:tc>
          <w:tcPr>
            <w:tcW w:w="704" w:type="dxa"/>
            <w:tcBorders/>
          </w:tcPr>
          <w:p>
            <w:pPr>
              <w:pStyle w:val="Table"/>
              <w:jc w:val="center"/>
              <w:rPr/>
            </w:pPr>
            <w:r>
              <w:rPr/>
              <w:t>3</w:t>
            </w:r>
          </w:p>
        </w:tc>
        <w:tc>
          <w:tcPr>
            <w:tcW w:w="2160" w:type="dxa"/>
            <w:tcBorders/>
          </w:tcPr>
          <w:p>
            <w:pPr>
              <w:pStyle w:val="Table"/>
              <w:rPr/>
            </w:pPr>
            <w:r>
              <w:rPr/>
              <w:t>March</w:t>
            </w:r>
          </w:p>
        </w:tc>
        <w:tc>
          <w:tcPr>
            <w:tcW w:w="1440" w:type="dxa"/>
            <w:tcBorders/>
          </w:tcPr>
          <w:p>
            <w:pPr>
              <w:pStyle w:val="Table"/>
              <w:tabs>
                <w:tab w:val="clear" w:pos="720"/>
                <w:tab w:val="decimal" w:pos="522" w:leader="none"/>
              </w:tabs>
              <w:rPr/>
            </w:pPr>
            <w:r>
              <w:rPr/>
              <w:t>2.87</w:t>
            </w:r>
          </w:p>
        </w:tc>
        <w:tc>
          <w:tcPr>
            <w:tcW w:w="1440" w:type="dxa"/>
            <w:tcBorders/>
          </w:tcPr>
          <w:p>
            <w:pPr>
              <w:pStyle w:val="Table"/>
              <w:tabs>
                <w:tab w:val="clear" w:pos="720"/>
                <w:tab w:val="decimal" w:pos="522" w:leader="none"/>
              </w:tabs>
              <w:rPr/>
            </w:pPr>
            <w:r>
              <w:rPr/>
              <w:t>3.24</w:t>
            </w:r>
          </w:p>
        </w:tc>
        <w:tc>
          <w:tcPr>
            <w:tcW w:w="1440" w:type="dxa"/>
            <w:tcBorders/>
          </w:tcPr>
          <w:p>
            <w:pPr>
              <w:pStyle w:val="Table"/>
              <w:tabs>
                <w:tab w:val="clear" w:pos="720"/>
                <w:tab w:val="decimal" w:pos="702" w:leader="none"/>
              </w:tabs>
              <w:rPr/>
            </w:pPr>
            <w:r>
              <w:rPr/>
              <w:t>13%</w:t>
            </w:r>
          </w:p>
        </w:tc>
      </w:tr>
      <w:tr>
        <w:trPr/>
        <w:tc>
          <w:tcPr>
            <w:tcW w:w="704" w:type="dxa"/>
            <w:tcBorders/>
          </w:tcPr>
          <w:p>
            <w:pPr>
              <w:pStyle w:val="Table"/>
              <w:jc w:val="center"/>
              <w:rPr/>
            </w:pPr>
            <w:r>
              <w:rPr/>
              <w:t>4</w:t>
            </w:r>
          </w:p>
        </w:tc>
        <w:tc>
          <w:tcPr>
            <w:tcW w:w="2160" w:type="dxa"/>
            <w:tcBorders/>
          </w:tcPr>
          <w:p>
            <w:pPr>
              <w:pStyle w:val="Table"/>
              <w:rPr/>
            </w:pPr>
            <w:r>
              <w:rPr/>
              <w:t>April</w:t>
            </w:r>
          </w:p>
        </w:tc>
        <w:tc>
          <w:tcPr>
            <w:tcW w:w="1440" w:type="dxa"/>
            <w:tcBorders/>
          </w:tcPr>
          <w:p>
            <w:pPr>
              <w:pStyle w:val="Table"/>
              <w:tabs>
                <w:tab w:val="clear" w:pos="720"/>
                <w:tab w:val="decimal" w:pos="522" w:leader="none"/>
              </w:tabs>
              <w:rPr/>
            </w:pPr>
            <w:r>
              <w:rPr/>
              <w:t>2.90</w:t>
            </w:r>
          </w:p>
        </w:tc>
        <w:tc>
          <w:tcPr>
            <w:tcW w:w="1440" w:type="dxa"/>
            <w:tcBorders/>
          </w:tcPr>
          <w:p>
            <w:pPr>
              <w:pStyle w:val="Table"/>
              <w:tabs>
                <w:tab w:val="clear" w:pos="720"/>
                <w:tab w:val="decimal" w:pos="522" w:leader="none"/>
              </w:tabs>
              <w:rPr/>
            </w:pPr>
            <w:r>
              <w:rPr/>
              <w:t>3.28</w:t>
            </w:r>
          </w:p>
        </w:tc>
        <w:tc>
          <w:tcPr>
            <w:tcW w:w="1440" w:type="dxa"/>
            <w:tcBorders/>
          </w:tcPr>
          <w:p>
            <w:pPr>
              <w:pStyle w:val="Table"/>
              <w:tabs>
                <w:tab w:val="clear" w:pos="720"/>
                <w:tab w:val="decimal" w:pos="702" w:leader="none"/>
              </w:tabs>
              <w:rPr/>
            </w:pPr>
            <w:r>
              <w:rPr/>
              <w:t>13%</w:t>
            </w:r>
          </w:p>
        </w:tc>
      </w:tr>
      <w:tr>
        <w:trPr/>
        <w:tc>
          <w:tcPr>
            <w:tcW w:w="704" w:type="dxa"/>
            <w:tcBorders/>
          </w:tcPr>
          <w:p>
            <w:pPr>
              <w:pStyle w:val="Table"/>
              <w:jc w:val="center"/>
              <w:rPr/>
            </w:pPr>
            <w:r>
              <w:rPr/>
              <w:t>5</w:t>
            </w:r>
          </w:p>
        </w:tc>
        <w:tc>
          <w:tcPr>
            <w:tcW w:w="2160" w:type="dxa"/>
            <w:tcBorders/>
          </w:tcPr>
          <w:p>
            <w:pPr>
              <w:pStyle w:val="Table"/>
              <w:rPr/>
            </w:pPr>
            <w:r>
              <w:rPr/>
              <w:t>May</w:t>
            </w:r>
          </w:p>
        </w:tc>
        <w:tc>
          <w:tcPr>
            <w:tcW w:w="1440" w:type="dxa"/>
            <w:tcBorders/>
          </w:tcPr>
          <w:p>
            <w:pPr>
              <w:pStyle w:val="Table"/>
              <w:tabs>
                <w:tab w:val="clear" w:pos="720"/>
                <w:tab w:val="decimal" w:pos="522" w:leader="none"/>
              </w:tabs>
              <w:rPr/>
            </w:pPr>
            <w:r>
              <w:rPr/>
              <w:t>2.82</w:t>
            </w:r>
          </w:p>
        </w:tc>
        <w:tc>
          <w:tcPr>
            <w:tcW w:w="1440" w:type="dxa"/>
            <w:tcBorders/>
          </w:tcPr>
          <w:p>
            <w:pPr>
              <w:pStyle w:val="Table"/>
              <w:tabs>
                <w:tab w:val="clear" w:pos="720"/>
                <w:tab w:val="decimal" w:pos="522" w:leader="none"/>
              </w:tabs>
              <w:rPr/>
            </w:pPr>
            <w:r>
              <w:rPr/>
              <w:t>6.08</w:t>
            </w:r>
          </w:p>
        </w:tc>
        <w:tc>
          <w:tcPr>
            <w:tcW w:w="1440" w:type="dxa"/>
            <w:tcBorders/>
          </w:tcPr>
          <w:p>
            <w:pPr>
              <w:pStyle w:val="Table"/>
              <w:tabs>
                <w:tab w:val="clear" w:pos="720"/>
                <w:tab w:val="decimal" w:pos="702" w:leader="none"/>
              </w:tabs>
              <w:rPr/>
            </w:pPr>
            <w:r>
              <w:rPr/>
              <w:t>116%</w:t>
            </w:r>
          </w:p>
        </w:tc>
      </w:tr>
      <w:tr>
        <w:trPr/>
        <w:tc>
          <w:tcPr>
            <w:tcW w:w="704" w:type="dxa"/>
            <w:tcBorders/>
          </w:tcPr>
          <w:p>
            <w:pPr>
              <w:pStyle w:val="Table"/>
              <w:jc w:val="center"/>
              <w:rPr/>
            </w:pPr>
            <w:r>
              <w:rPr/>
              <w:t>6</w:t>
            </w:r>
          </w:p>
        </w:tc>
        <w:tc>
          <w:tcPr>
            <w:tcW w:w="2160" w:type="dxa"/>
            <w:tcBorders/>
          </w:tcPr>
          <w:p>
            <w:pPr>
              <w:pStyle w:val="Table"/>
              <w:rPr/>
            </w:pPr>
            <w:r>
              <w:rPr/>
              <w:t>June</w:t>
            </w:r>
          </w:p>
        </w:tc>
        <w:tc>
          <w:tcPr>
            <w:tcW w:w="1440" w:type="dxa"/>
            <w:tcBorders/>
          </w:tcPr>
          <w:p>
            <w:pPr>
              <w:pStyle w:val="Table"/>
              <w:tabs>
                <w:tab w:val="clear" w:pos="720"/>
                <w:tab w:val="decimal" w:pos="522" w:leader="none"/>
              </w:tabs>
              <w:rPr/>
            </w:pPr>
            <w:r>
              <w:rPr/>
              <w:t>2.95</w:t>
            </w:r>
          </w:p>
        </w:tc>
        <w:tc>
          <w:tcPr>
            <w:tcW w:w="1440" w:type="dxa"/>
            <w:tcBorders/>
          </w:tcPr>
          <w:p>
            <w:pPr>
              <w:pStyle w:val="Table"/>
              <w:tabs>
                <w:tab w:val="clear" w:pos="720"/>
                <w:tab w:val="decimal" w:pos="522" w:leader="none"/>
              </w:tabs>
              <w:rPr/>
            </w:pPr>
            <w:r>
              <w:rPr/>
              <w:t>16.33</w:t>
            </w:r>
          </w:p>
        </w:tc>
        <w:tc>
          <w:tcPr>
            <w:tcW w:w="1440" w:type="dxa"/>
            <w:tcBorders/>
          </w:tcPr>
          <w:p>
            <w:pPr>
              <w:pStyle w:val="Table"/>
              <w:tabs>
                <w:tab w:val="clear" w:pos="720"/>
                <w:tab w:val="decimal" w:pos="702" w:leader="none"/>
              </w:tabs>
              <w:rPr/>
            </w:pPr>
            <w:r>
              <w:rPr/>
              <w:t>454%</w:t>
            </w:r>
          </w:p>
        </w:tc>
      </w:tr>
      <w:tr>
        <w:trPr/>
        <w:tc>
          <w:tcPr>
            <w:tcW w:w="704" w:type="dxa"/>
            <w:tcBorders/>
          </w:tcPr>
          <w:p>
            <w:pPr>
              <w:pStyle w:val="Table"/>
              <w:jc w:val="center"/>
              <w:rPr/>
            </w:pPr>
            <w:r>
              <w:rPr/>
              <w:t>7</w:t>
            </w:r>
          </w:p>
        </w:tc>
        <w:tc>
          <w:tcPr>
            <w:tcW w:w="2160" w:type="dxa"/>
            <w:tcBorders/>
          </w:tcPr>
          <w:p>
            <w:pPr>
              <w:pStyle w:val="Table"/>
              <w:rPr/>
            </w:pPr>
            <w:r>
              <w:rPr/>
              <w:t>July</w:t>
            </w:r>
          </w:p>
        </w:tc>
        <w:tc>
          <w:tcPr>
            <w:tcW w:w="1440" w:type="dxa"/>
            <w:tcBorders/>
          </w:tcPr>
          <w:p>
            <w:pPr>
              <w:pStyle w:val="Table"/>
              <w:tabs>
                <w:tab w:val="clear" w:pos="720"/>
                <w:tab w:val="decimal" w:pos="522" w:leader="none"/>
              </w:tabs>
              <w:rPr/>
            </w:pPr>
            <w:r>
              <w:rPr/>
              <w:t>3.85</w:t>
            </w:r>
          </w:p>
        </w:tc>
        <w:tc>
          <w:tcPr>
            <w:tcW w:w="1440" w:type="dxa"/>
            <w:tcBorders/>
          </w:tcPr>
          <w:p>
            <w:pPr>
              <w:pStyle w:val="Table"/>
              <w:tabs>
                <w:tab w:val="clear" w:pos="720"/>
                <w:tab w:val="decimal" w:pos="522" w:leader="none"/>
              </w:tabs>
              <w:rPr/>
            </w:pPr>
            <w:r>
              <w:rPr/>
              <w:t>11.00</w:t>
            </w:r>
          </w:p>
        </w:tc>
        <w:tc>
          <w:tcPr>
            <w:tcW w:w="1440" w:type="dxa"/>
            <w:tcBorders/>
          </w:tcPr>
          <w:p>
            <w:pPr>
              <w:pStyle w:val="Table"/>
              <w:tabs>
                <w:tab w:val="clear" w:pos="720"/>
                <w:tab w:val="decimal" w:pos="702" w:leader="none"/>
              </w:tabs>
              <w:rPr/>
            </w:pPr>
            <w:r>
              <w:rPr/>
              <w:t>186%</w:t>
            </w:r>
          </w:p>
        </w:tc>
      </w:tr>
      <w:tr>
        <w:trPr/>
        <w:tc>
          <w:tcPr>
            <w:tcW w:w="704" w:type="dxa"/>
            <w:tcBorders/>
          </w:tcPr>
          <w:p>
            <w:pPr>
              <w:pStyle w:val="Table"/>
              <w:jc w:val="center"/>
              <w:rPr/>
            </w:pPr>
            <w:r>
              <w:rPr/>
              <w:t>8</w:t>
            </w:r>
          </w:p>
        </w:tc>
        <w:tc>
          <w:tcPr>
            <w:tcW w:w="2160" w:type="dxa"/>
            <w:tcBorders/>
          </w:tcPr>
          <w:p>
            <w:pPr>
              <w:pStyle w:val="Table"/>
              <w:rPr/>
            </w:pPr>
            <w:r>
              <w:rPr/>
              <w:t>August</w:t>
            </w:r>
          </w:p>
        </w:tc>
        <w:tc>
          <w:tcPr>
            <w:tcW w:w="1440" w:type="dxa"/>
            <w:tcBorders/>
          </w:tcPr>
          <w:p>
            <w:pPr>
              <w:pStyle w:val="Table"/>
              <w:tabs>
                <w:tab w:val="clear" w:pos="720"/>
                <w:tab w:val="decimal" w:pos="522" w:leader="none"/>
              </w:tabs>
              <w:rPr/>
            </w:pPr>
            <w:r>
              <w:rPr/>
              <w:t>4.10</w:t>
            </w:r>
          </w:p>
        </w:tc>
        <w:tc>
          <w:tcPr>
            <w:tcW w:w="1440" w:type="dxa"/>
            <w:tcBorders/>
          </w:tcPr>
          <w:p>
            <w:pPr>
              <w:pStyle w:val="Table"/>
              <w:tabs>
                <w:tab w:val="clear" w:pos="720"/>
                <w:tab w:val="decimal" w:pos="522" w:leader="none"/>
              </w:tabs>
              <w:rPr/>
            </w:pPr>
            <w:r>
              <w:rPr/>
              <w:t>18.70</w:t>
            </w:r>
          </w:p>
        </w:tc>
        <w:tc>
          <w:tcPr>
            <w:tcW w:w="1440" w:type="dxa"/>
            <w:tcBorders/>
          </w:tcPr>
          <w:p>
            <w:pPr>
              <w:pStyle w:val="Table"/>
              <w:tabs>
                <w:tab w:val="clear" w:pos="720"/>
                <w:tab w:val="decimal" w:pos="702" w:leader="none"/>
              </w:tabs>
              <w:rPr/>
            </w:pPr>
            <w:r>
              <w:rPr/>
              <w:t>356%</w:t>
            </w:r>
          </w:p>
        </w:tc>
      </w:tr>
      <w:tr>
        <w:trPr/>
        <w:tc>
          <w:tcPr>
            <w:tcW w:w="704" w:type="dxa"/>
            <w:tcBorders/>
          </w:tcPr>
          <w:p>
            <w:pPr>
              <w:pStyle w:val="Table"/>
              <w:jc w:val="center"/>
              <w:rPr/>
            </w:pPr>
            <w:r>
              <w:rPr/>
              <w:t>9</w:t>
            </w:r>
          </w:p>
        </w:tc>
        <w:tc>
          <w:tcPr>
            <w:tcW w:w="2160" w:type="dxa"/>
            <w:tcBorders/>
          </w:tcPr>
          <w:p>
            <w:pPr>
              <w:pStyle w:val="Table"/>
              <w:rPr/>
            </w:pPr>
            <w:r>
              <w:rPr/>
              <w:t>September</w:t>
            </w:r>
          </w:p>
        </w:tc>
        <w:tc>
          <w:tcPr>
            <w:tcW w:w="1440" w:type="dxa"/>
            <w:tcBorders/>
          </w:tcPr>
          <w:p>
            <w:pPr>
              <w:pStyle w:val="Table"/>
              <w:tabs>
                <w:tab w:val="clear" w:pos="720"/>
                <w:tab w:val="decimal" w:pos="522" w:leader="none"/>
              </w:tabs>
              <w:rPr/>
            </w:pPr>
            <w:r>
              <w:rPr/>
              <w:t>4.09</w:t>
            </w:r>
          </w:p>
        </w:tc>
        <w:tc>
          <w:tcPr>
            <w:tcW w:w="1440" w:type="dxa"/>
            <w:tcBorders/>
          </w:tcPr>
          <w:p>
            <w:pPr>
              <w:pStyle w:val="Table"/>
              <w:tabs>
                <w:tab w:val="clear" w:pos="720"/>
                <w:tab w:val="decimal" w:pos="522" w:leader="none"/>
              </w:tabs>
              <w:rPr/>
            </w:pPr>
            <w:r>
              <w:rPr/>
              <w:t>13.82</w:t>
            </w:r>
          </w:p>
        </w:tc>
        <w:tc>
          <w:tcPr>
            <w:tcW w:w="1440" w:type="dxa"/>
            <w:tcBorders/>
          </w:tcPr>
          <w:p>
            <w:pPr>
              <w:pStyle w:val="Table"/>
              <w:tabs>
                <w:tab w:val="clear" w:pos="720"/>
                <w:tab w:val="decimal" w:pos="702" w:leader="none"/>
              </w:tabs>
              <w:rPr/>
            </w:pPr>
            <w:r>
              <w:rPr/>
              <w:t>238%</w:t>
            </w:r>
          </w:p>
        </w:tc>
      </w:tr>
      <w:tr>
        <w:trPr/>
        <w:tc>
          <w:tcPr>
            <w:tcW w:w="704" w:type="dxa"/>
            <w:tcBorders/>
          </w:tcPr>
          <w:p>
            <w:pPr>
              <w:pStyle w:val="Table"/>
              <w:jc w:val="center"/>
              <w:rPr/>
            </w:pPr>
            <w:r>
              <w:rPr/>
              <w:t>10</w:t>
            </w:r>
          </w:p>
        </w:tc>
        <w:tc>
          <w:tcPr>
            <w:tcW w:w="2160" w:type="dxa"/>
            <w:tcBorders/>
          </w:tcPr>
          <w:p>
            <w:pPr>
              <w:pStyle w:val="Table"/>
              <w:rPr/>
            </w:pPr>
            <w:r>
              <w:rPr/>
              <w:t>October</w:t>
            </w:r>
          </w:p>
        </w:tc>
        <w:tc>
          <w:tcPr>
            <w:tcW w:w="1440" w:type="dxa"/>
            <w:tcBorders/>
          </w:tcPr>
          <w:p>
            <w:pPr>
              <w:pStyle w:val="Table"/>
              <w:tabs>
                <w:tab w:val="clear" w:pos="720"/>
                <w:tab w:val="decimal" w:pos="522" w:leader="none"/>
              </w:tabs>
              <w:rPr/>
            </w:pPr>
            <w:r>
              <w:rPr/>
              <w:t>6.18</w:t>
            </w:r>
          </w:p>
        </w:tc>
        <w:tc>
          <w:tcPr>
            <w:tcW w:w="1440" w:type="dxa"/>
            <w:tcBorders/>
          </w:tcPr>
          <w:p>
            <w:pPr>
              <w:pStyle w:val="Table"/>
              <w:tabs>
                <w:tab w:val="clear" w:pos="720"/>
                <w:tab w:val="decimal" w:pos="522" w:leader="none"/>
              </w:tabs>
              <w:rPr/>
            </w:pPr>
            <w:r>
              <w:rPr/>
              <w:t>13.62</w:t>
            </w:r>
          </w:p>
        </w:tc>
        <w:tc>
          <w:tcPr>
            <w:tcW w:w="1440" w:type="dxa"/>
            <w:tcBorders/>
          </w:tcPr>
          <w:p>
            <w:pPr>
              <w:pStyle w:val="Table"/>
              <w:tabs>
                <w:tab w:val="clear" w:pos="720"/>
                <w:tab w:val="decimal" w:pos="702" w:leader="none"/>
              </w:tabs>
              <w:rPr/>
            </w:pPr>
            <w:r>
              <w:rPr/>
              <w:t>120%</w:t>
            </w:r>
          </w:p>
        </w:tc>
      </w:tr>
      <w:tr>
        <w:trPr/>
        <w:tc>
          <w:tcPr>
            <w:tcW w:w="704" w:type="dxa"/>
            <w:tcBorders/>
          </w:tcPr>
          <w:p>
            <w:pPr>
              <w:pStyle w:val="Table"/>
              <w:jc w:val="center"/>
              <w:rPr/>
            </w:pPr>
            <w:r>
              <w:rPr/>
              <w:t>11</w:t>
            </w:r>
          </w:p>
        </w:tc>
        <w:tc>
          <w:tcPr>
            <w:tcW w:w="2160" w:type="dxa"/>
            <w:tcBorders/>
          </w:tcPr>
          <w:p>
            <w:pPr>
              <w:pStyle w:val="Table"/>
              <w:rPr/>
            </w:pPr>
            <w:r>
              <w:rPr/>
              <w:t>November</w:t>
            </w:r>
          </w:p>
        </w:tc>
        <w:tc>
          <w:tcPr>
            <w:tcW w:w="1440" w:type="dxa"/>
            <w:tcBorders/>
          </w:tcPr>
          <w:p>
            <w:pPr>
              <w:pStyle w:val="Table"/>
              <w:tabs>
                <w:tab w:val="clear" w:pos="720"/>
                <w:tab w:val="decimal" w:pos="522" w:leader="none"/>
              </w:tabs>
              <w:rPr/>
            </w:pPr>
            <w:r>
              <w:rPr/>
              <w:t>4.46</w:t>
            </w:r>
          </w:p>
        </w:tc>
        <w:tc>
          <w:tcPr>
            <w:tcW w:w="1440" w:type="dxa"/>
            <w:tcBorders/>
          </w:tcPr>
          <w:p>
            <w:pPr>
              <w:pStyle w:val="Table"/>
              <w:tabs>
                <w:tab w:val="clear" w:pos="720"/>
                <w:tab w:val="left" w:pos="350" w:leader="none"/>
              </w:tabs>
              <w:rPr/>
            </w:pPr>
            <w:r>
              <w:rPr/>
              <w:tab/>
              <w:t>N/A</w:t>
            </w:r>
            <w:r>
              <w:rPr>
                <w:rStyle w:val="FootnoteCharacters"/>
                <w:rStyle w:val="FootnoteReference"/>
              </w:rPr>
              <w:footnoteReference w:id="4"/>
            </w:r>
            <w:r>
              <w:rPr>
                <w:vertAlign w:val="superscript"/>
              </w:rPr>
              <w:t>/</w:t>
            </w:r>
          </w:p>
        </w:tc>
        <w:tc>
          <w:tcPr>
            <w:tcW w:w="1440" w:type="dxa"/>
            <w:tcBorders/>
          </w:tcPr>
          <w:p>
            <w:pPr>
              <w:pStyle w:val="Table"/>
              <w:tabs>
                <w:tab w:val="clear" w:pos="720"/>
                <w:tab w:val="decimal" w:pos="702" w:leader="none"/>
              </w:tabs>
              <w:snapToGrid w:val="false"/>
              <w:rPr/>
            </w:pPr>
            <w:r>
              <w:rPr/>
            </w:r>
          </w:p>
        </w:tc>
      </w:tr>
      <w:tr>
        <w:trPr/>
        <w:tc>
          <w:tcPr>
            <w:tcW w:w="704" w:type="dxa"/>
            <w:tcBorders/>
          </w:tcPr>
          <w:p>
            <w:pPr>
              <w:pStyle w:val="Table"/>
              <w:jc w:val="center"/>
              <w:rPr/>
            </w:pPr>
            <w:r>
              <w:rPr/>
              <w:t>12</w:t>
            </w:r>
          </w:p>
        </w:tc>
        <w:tc>
          <w:tcPr>
            <w:tcW w:w="2160" w:type="dxa"/>
            <w:tcBorders/>
          </w:tcPr>
          <w:p>
            <w:pPr>
              <w:pStyle w:val="Table"/>
              <w:rPr/>
            </w:pPr>
            <w:r>
              <w:rPr/>
              <w:t>December</w:t>
            </w:r>
          </w:p>
        </w:tc>
        <w:tc>
          <w:tcPr>
            <w:tcW w:w="1440" w:type="dxa"/>
            <w:tcBorders/>
          </w:tcPr>
          <w:p>
            <w:pPr>
              <w:pStyle w:val="Table"/>
              <w:tabs>
                <w:tab w:val="clear" w:pos="720"/>
                <w:tab w:val="decimal" w:pos="522" w:leader="none"/>
              </w:tabs>
              <w:rPr/>
            </w:pPr>
            <w:r>
              <w:rPr/>
              <w:t>3.97</w:t>
            </w:r>
          </w:p>
        </w:tc>
        <w:tc>
          <w:tcPr>
            <w:tcW w:w="1440" w:type="dxa"/>
            <w:tcBorders/>
          </w:tcPr>
          <w:p>
            <w:pPr>
              <w:pStyle w:val="Table"/>
              <w:tabs>
                <w:tab w:val="clear" w:pos="720"/>
                <w:tab w:val="left" w:pos="350" w:leader="none"/>
              </w:tabs>
              <w:rPr/>
            </w:pPr>
            <w:r>
              <w:rPr/>
              <w:tab/>
              <w:t>N/A</w:t>
            </w:r>
          </w:p>
        </w:tc>
        <w:tc>
          <w:tcPr>
            <w:tcW w:w="1440" w:type="dxa"/>
            <w:tcBorders/>
          </w:tcPr>
          <w:p>
            <w:pPr>
              <w:pStyle w:val="Table"/>
              <w:tabs>
                <w:tab w:val="clear" w:pos="720"/>
                <w:tab w:val="decimal" w:pos="702" w:leader="none"/>
              </w:tabs>
              <w:snapToGrid w:val="false"/>
              <w:rPr/>
            </w:pPr>
            <w:r>
              <w:rPr/>
            </w:r>
          </w:p>
        </w:tc>
      </w:tr>
    </w:tbl>
    <w:p>
      <w:pPr>
        <w:pStyle w:val="Body1"/>
        <w:suppressLineNumbers/>
        <w:rPr/>
      </w:pPr>
      <w:r>
        <w:rPr/>
      </w:r>
    </w:p>
    <w:p>
      <w:pPr>
        <w:pStyle w:val="Normal"/>
        <w:spacing w:lineRule="auto" w:line="480"/>
        <w:ind w:firstLine="720" w:end="0"/>
        <w:rPr/>
      </w:pPr>
      <w:r>
        <w:rPr/>
        <w:t xml:space="preserve">Given the continued short supply and high demand of wholesale electricity, prices are expected to continue to remain high for the foreseeable future, even after factoring in PG&amp;E’s aggressive initiatives to mitigate volatility through forward contracting and market structure reforms.  For this reason, while longer term solutions to the broken wholesale markets are being developed, PG&amp;E is committed to a plan for shielding its customers, and the California economy, from the dramatically high cost of electricity.  PG&amp;E’s RSP offers reasonable rates </w:t>
      </w:r>
      <w:r>
        <w:rPr>
          <w:u w:val="single"/>
        </w:rPr>
        <w:t>now</w:t>
      </w:r>
      <w:r>
        <w:rPr/>
        <w:t xml:space="preserve">, and protection from dramatic price increases in the </w:t>
      </w:r>
      <w:r>
        <w:rPr>
          <w:u w:val="single"/>
        </w:rPr>
        <w:t>future</w:t>
      </w:r>
      <w:r>
        <w:rPr/>
        <w:t>.</w:t>
      </w:r>
    </w:p>
    <w:p>
      <w:pPr>
        <w:pStyle w:val="Normal"/>
        <w:spacing w:lineRule="auto" w:line="480"/>
        <w:ind w:firstLine="720" w:end="0"/>
        <w:rPr/>
      </w:pPr>
      <w:r>
        <w:rPr/>
        <w:t>To reduce the immediate rate increase needed to finance the recovery of these uncollected power costs, PG&amp;E will defer receiving a significant portion of its share of profits from its retained generation facilities, such as Diablo Canyon and its hydroelectric plants, and allow those funds instead to go toward easing the burden on customers, until electric prices come back in line.</w:t>
      </w:r>
    </w:p>
    <w:p>
      <w:pPr>
        <w:pStyle w:val="Normal"/>
        <w:spacing w:lineRule="auto" w:line="480"/>
        <w:ind w:firstLine="720" w:end="0"/>
        <w:rPr/>
      </w:pPr>
      <w:r>
        <w:rPr/>
        <w:t xml:space="preserve">As a result, at the outset nearly all of the proposed increase in customer bills will go toward just keeping up with the record-setting high wholesale cost of electricity.  However, a small amount of the increase will go toward recovery of ongoing CTCs and about $3.4 billion in uncollected electricity costs PG&amp;E has incurred since May 2000 from buying power in the wholesale market for its customers. </w:t>
      </w:r>
    </w:p>
    <w:p>
      <w:pPr>
        <w:pStyle w:val="Normal"/>
        <w:spacing w:lineRule="auto" w:line="480"/>
        <w:ind w:firstLine="720" w:end="0"/>
        <w:rPr/>
      </w:pPr>
      <w:r>
        <w:rPr/>
        <w:t>PG&amp;E has been able to borrow money temporarily to cover these past and ongoing uncollected wholesale power costs, but it is reaching the limit of its credit capacity.  To keep prices down and help stabilize rates, PG&amp;E will continue to act like a bank for its customers by financing the undercollected amount, to the best of its ability, over the five-year RSP period.  Under the RSP, customers gradually will pay off these uncollected costs, which PG&amp;E has financed on their behalf.</w:t>
      </w:r>
    </w:p>
    <w:p>
      <w:pPr>
        <w:pStyle w:val="Normal"/>
        <w:spacing w:lineRule="auto" w:line="480"/>
        <w:ind w:firstLine="720" w:end="0"/>
        <w:rPr/>
      </w:pPr>
      <w:r>
        <w:rPr/>
        <w:t>PG&amp;E recognizes that its RSP is just one element in a comprehensive effort by utilities, policymakers, regulators, customers and stakeholders to fix the broken wholesale electricity markets and end the current energy crisis.  PG&amp;E is working with regulators, policy makers, and customers to develop long-term solutions.</w:t>
      </w:r>
    </w:p>
    <w:p>
      <w:pPr>
        <w:pStyle w:val="Normal"/>
        <w:spacing w:lineRule="auto" w:line="480"/>
        <w:ind w:firstLine="720" w:end="0"/>
        <w:rPr/>
      </w:pPr>
      <w:r>
        <w:rPr/>
        <w:t>As part of its overall plan for solving the problems in electricity markets, PG&amp;E has offered the following solutions:</w:t>
      </w:r>
    </w:p>
    <w:p>
      <w:pPr>
        <w:pStyle w:val="Normal"/>
        <w:rPr>
          <w:b/>
          <w:bCs/>
          <w:i/>
          <w:i/>
          <w:iCs/>
        </w:rPr>
      </w:pPr>
      <w:r>
        <w:rPr>
          <w:b/>
          <w:bCs/>
          <w:i/>
          <w:iCs/>
        </w:rPr>
        <w:t xml:space="preserve">Increase supply </w:t>
      </w:r>
    </w:p>
    <w:p>
      <w:pPr>
        <w:pStyle w:val="Normal"/>
        <w:numPr>
          <w:ilvl w:val="0"/>
          <w:numId w:val="4"/>
        </w:numPr>
        <w:tabs>
          <w:tab w:val="clear" w:pos="720"/>
          <w:tab w:val="left" w:pos="0" w:leader="none"/>
        </w:tabs>
        <w:ind w:hanging="720" w:start="1080" w:end="0"/>
        <w:rPr/>
      </w:pPr>
      <w:r>
        <w:rPr/>
        <w:t xml:space="preserve">PG&amp;E is surveying its substations to identify those that can accommodate small generation plants that could be used in times of very high demand. </w:t>
      </w:r>
    </w:p>
    <w:p>
      <w:pPr>
        <w:pStyle w:val="Normal"/>
        <w:numPr>
          <w:ilvl w:val="0"/>
          <w:numId w:val="4"/>
        </w:numPr>
        <w:tabs>
          <w:tab w:val="clear" w:pos="720"/>
          <w:tab w:val="left" w:pos="0" w:leader="none"/>
        </w:tabs>
        <w:ind w:hanging="720" w:start="1080" w:end="0"/>
        <w:rPr/>
      </w:pPr>
      <w:r>
        <w:rPr/>
        <w:t>PG&amp;E is advocating actions under legislation signed recently by Governor Davis that will allow the state to cut through bureaucratic red tape and site power plants more quickly, as long as they meet appropriate environmental and local permitting requirements.</w:t>
      </w:r>
    </w:p>
    <w:p>
      <w:pPr>
        <w:pStyle w:val="Normal"/>
        <w:numPr>
          <w:ilvl w:val="0"/>
          <w:numId w:val="0"/>
        </w:numPr>
        <w:ind w:hanging="0" w:start="0"/>
        <w:rPr/>
      </w:pPr>
      <w:r>
        <w:rPr/>
      </w:r>
    </w:p>
    <w:p>
      <w:pPr>
        <w:pStyle w:val="Normal"/>
        <w:numPr>
          <w:ilvl w:val="0"/>
          <w:numId w:val="0"/>
        </w:numPr>
        <w:ind w:hanging="0" w:start="0"/>
        <w:rPr>
          <w:b/>
          <w:bCs/>
          <w:i/>
          <w:i/>
          <w:iCs/>
        </w:rPr>
      </w:pPr>
      <w:r>
        <w:rPr>
          <w:b/>
          <w:bCs/>
          <w:i/>
          <w:iCs/>
        </w:rPr>
        <w:t>Moderate demand</w:t>
      </w:r>
    </w:p>
    <w:p>
      <w:pPr>
        <w:pStyle w:val="Normal"/>
        <w:numPr>
          <w:ilvl w:val="0"/>
          <w:numId w:val="4"/>
        </w:numPr>
        <w:tabs>
          <w:tab w:val="clear" w:pos="720"/>
          <w:tab w:val="left" w:pos="0" w:leader="none"/>
        </w:tabs>
        <w:ind w:hanging="720" w:start="1080" w:end="0"/>
        <w:rPr/>
      </w:pPr>
      <w:r>
        <w:rPr/>
        <w:t>PG&amp;E is spending more than $125 million in 2001 on programs that help customers reduce peak electricity demand through energy efficiency and conservation</w:t>
      </w:r>
    </w:p>
    <w:p>
      <w:pPr>
        <w:pStyle w:val="Normal"/>
        <w:numPr>
          <w:ilvl w:val="0"/>
          <w:numId w:val="4"/>
        </w:numPr>
        <w:tabs>
          <w:tab w:val="clear" w:pos="720"/>
          <w:tab w:val="left" w:pos="0" w:leader="none"/>
        </w:tabs>
        <w:ind w:hanging="720" w:start="1080" w:end="0"/>
        <w:rPr/>
      </w:pPr>
      <w:r>
        <w:rPr/>
        <w:t>In addition to new energy efficiency programs and services to both residential and business customers, PG&amp;E has made changes to several demand-side and alternative billing programs to capture more megawatt savings during times of peak energy usage.</w:t>
      </w:r>
    </w:p>
    <w:p>
      <w:pPr>
        <w:pStyle w:val="Normal"/>
        <w:numPr>
          <w:ilvl w:val="0"/>
          <w:numId w:val="0"/>
        </w:numPr>
        <w:ind w:hanging="0" w:start="0"/>
        <w:rPr/>
      </w:pPr>
      <w:r>
        <w:rPr/>
      </w:r>
      <w:r>
        <w:br w:type="page"/>
      </w:r>
    </w:p>
    <w:p>
      <w:pPr>
        <w:pStyle w:val="Normal"/>
        <w:keepNext w:val="true"/>
        <w:numPr>
          <w:ilvl w:val="0"/>
          <w:numId w:val="0"/>
        </w:numPr>
        <w:ind w:hanging="0" w:start="0"/>
        <w:rPr>
          <w:b/>
          <w:bCs/>
          <w:i/>
          <w:i/>
          <w:iCs/>
        </w:rPr>
      </w:pPr>
      <w:r>
        <w:rPr>
          <w:b/>
          <w:bCs/>
          <w:i/>
          <w:iCs/>
        </w:rPr>
        <w:t>Repair the broken wholesale market</w:t>
      </w:r>
    </w:p>
    <w:p>
      <w:pPr>
        <w:pStyle w:val="Normal"/>
        <w:numPr>
          <w:ilvl w:val="0"/>
          <w:numId w:val="4"/>
        </w:numPr>
        <w:tabs>
          <w:tab w:val="clear" w:pos="720"/>
          <w:tab w:val="left" w:pos="0" w:leader="none"/>
        </w:tabs>
        <w:ind w:hanging="720" w:start="1080" w:end="0"/>
        <w:rPr/>
      </w:pPr>
      <w:r>
        <w:rPr/>
        <w:t>PG&amp;E is asking the Federal Energy Regulatory Commission to provide regulatory relief from the unjust and unreasonable power prices charged by independent power generators, including price caps, as well as refunds of unreasonable prices.</w:t>
      </w:r>
    </w:p>
    <w:p>
      <w:pPr>
        <w:pStyle w:val="Normal"/>
        <w:numPr>
          <w:ilvl w:val="0"/>
          <w:numId w:val="4"/>
        </w:numPr>
        <w:tabs>
          <w:tab w:val="clear" w:pos="720"/>
          <w:tab w:val="left" w:pos="0" w:leader="none"/>
        </w:tabs>
        <w:ind w:hanging="720" w:start="1080" w:end="0"/>
        <w:rPr/>
      </w:pPr>
      <w:r>
        <w:rPr/>
        <w:t>PG&amp;E is asking the California Independent System Operator (CAISO) to adopt price caps and market restructuring mechanisms to try to repair – at least on a temporary basis – the broken wholesale power markets in California.</w:t>
      </w:r>
    </w:p>
    <w:p>
      <w:pPr>
        <w:pStyle w:val="Normal"/>
        <w:numPr>
          <w:ilvl w:val="0"/>
          <w:numId w:val="0"/>
        </w:numPr>
        <w:ind w:hanging="0" w:start="0"/>
        <w:rPr/>
      </w:pPr>
      <w:r>
        <w:rPr/>
      </w:r>
    </w:p>
    <w:p>
      <w:pPr>
        <w:pStyle w:val="Normal"/>
        <w:numPr>
          <w:ilvl w:val="0"/>
          <w:numId w:val="0"/>
        </w:numPr>
        <w:ind w:hanging="0" w:start="0"/>
        <w:rPr>
          <w:b/>
          <w:bCs/>
          <w:i/>
          <w:i/>
          <w:iCs/>
        </w:rPr>
      </w:pPr>
      <w:r>
        <w:rPr>
          <w:b/>
          <w:bCs/>
          <w:i/>
          <w:iCs/>
        </w:rPr>
        <w:t>Fight for fair, reasonable rates for our customers</w:t>
      </w:r>
    </w:p>
    <w:p>
      <w:pPr>
        <w:pStyle w:val="Normal"/>
        <w:numPr>
          <w:ilvl w:val="0"/>
          <w:numId w:val="4"/>
        </w:numPr>
        <w:tabs>
          <w:tab w:val="clear" w:pos="720"/>
          <w:tab w:val="left" w:pos="0" w:leader="none"/>
        </w:tabs>
        <w:ind w:hanging="720" w:start="1080" w:end="0"/>
        <w:rPr/>
      </w:pPr>
      <w:r>
        <w:rPr/>
        <w:t>PG&amp;E is using the limited authority granted by the CPUC to buy long-term electricity supplies for its customers, reduce its reliance on volatile spot supplies, and “hedge” against higher prices in the future.</w:t>
      </w:r>
    </w:p>
    <w:p>
      <w:pPr>
        <w:pStyle w:val="Normal"/>
        <w:numPr>
          <w:ilvl w:val="0"/>
          <w:numId w:val="4"/>
        </w:numPr>
        <w:tabs>
          <w:tab w:val="clear" w:pos="720"/>
          <w:tab w:val="left" w:pos="0" w:leader="none"/>
        </w:tabs>
        <w:ind w:hanging="360" w:start="1080" w:end="0"/>
        <w:rPr/>
      </w:pPr>
      <w:r>
        <w:rPr/>
        <w:t>Through “forward contracting” arrangements, PG&amp;E is locking in the lowest prices available for future electricity needs for its customers through expanded use of bilateral contracts with power generators.</w:t>
      </w:r>
    </w:p>
    <w:p>
      <w:pPr>
        <w:pStyle w:val="Normal"/>
        <w:rPr>
          <w:rFonts w:ascii="Arial" w:hAnsi="Arial" w:eastAsia="Arial" w:cs="Arial"/>
          <w:sz w:val="22"/>
          <w:szCs w:val="22"/>
        </w:rPr>
      </w:pPr>
      <w:r>
        <w:rPr>
          <w:rFonts w:eastAsia="Arial" w:cs="Arial" w:ascii="Arial" w:hAnsi="Arial"/>
          <w:sz w:val="22"/>
          <w:szCs w:val="22"/>
        </w:rPr>
      </w:r>
    </w:p>
    <w:p>
      <w:pPr>
        <w:pStyle w:val="Normal"/>
        <w:spacing w:lineRule="exact" w:line="480"/>
        <w:ind w:firstLine="720" w:end="0"/>
        <w:rPr/>
      </w:pPr>
      <w:r>
        <w:rPr/>
        <w:t xml:space="preserve">PG&amp;E intends to continue to pursue these long-term solutions in cooperation with all interested parties and policymakers.  The stabilized rate levels proposed in this filing are directly dependent on the success or failure of  the various actions federal and state regulators, policymakers and stakeholders, including PG&amp;E, are taking to reduce prices for customers over the short-term and long-term.  If these actions result in lower wholesale prices by next summer and beyond, then PG&amp;E will recover its undercollected power costs faster and the rate levels under this proposal will come down faster. </w:t>
      </w:r>
    </w:p>
    <w:p>
      <w:pPr>
        <w:pStyle w:val="Normal"/>
        <w:spacing w:lineRule="exact" w:line="480"/>
        <w:ind w:firstLine="720" w:end="0"/>
        <w:rPr/>
      </w:pPr>
      <w:r>
        <w:rPr/>
        <w:t xml:space="preserve">However, simply stated, until “going forward” wholesale prices are mitigated and reduced over a sustainable period of time, PG&amp;E must be able to increase its revenues to continue purchasing power, continue financing its massive and growing shortfall in cost recovery, and hence continue operations and services to its customers.  None of the solutions proposed to end the current crisis are worth the paper they are written on if PG&amp;E does not have the short-term cash and credit needed to pay its current bills, meet its current payroll, and keep the lights on.  </w:t>
      </w:r>
      <w:r>
        <w:br w:type="page"/>
      </w:r>
    </w:p>
    <w:p>
      <w:pPr>
        <w:pStyle w:val="Normal"/>
        <w:spacing w:lineRule="exact" w:line="480"/>
        <w:ind w:firstLine="720" w:end="0"/>
        <w:rPr/>
      </w:pPr>
      <w:r>
        <w:rPr/>
        <w:t xml:space="preserve">As PG&amp;E’s testimony shows, the Company’s net cash shortfall due to its mounting uncollected power costs is enormous.  PG&amp;E cannot—and creditors will not—finance this shortfall very much longer.  The Commission must take immediate and decisive steps to provide for recovery of PG&amp;E’s high purchased power costs, and to restore PG&amp;E’s financial condition.  Therefore, PG&amp;E respectfully requests that the Commission immediately approve PG&amp;E’s Rate Stabilization Plan, as discussed in more detail below and in the prepared testimony. </w:t>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reasons for application</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PG&amp;E’s Rate Freeze Is Over</w:t>
      </w:r>
    </w:p>
    <w:p>
      <w:pPr>
        <w:pStyle w:val="Normal"/>
        <w:spacing w:lineRule="atLeast" w:line="480"/>
        <w:ind w:firstLine="720" w:end="0"/>
        <w:rPr/>
      </w:pPr>
      <w:r>
        <w:rPr/>
        <w:t>Under AB 1890 and Commission decisions, PG&amp;E’s AB 1890 rate freeze ends when it has collected its transition costs or March 31, 2002, whichever is earlier.  (</w:t>
      </w:r>
      <w:r>
        <w:rPr>
          <w:i/>
          <w:iCs/>
        </w:rPr>
        <w:t>See, e.g.</w:t>
      </w:r>
      <w:r>
        <w:rPr/>
        <w:t>, Public Utilities Code § 368(a); D.99-10-057 (mimeo at pp. 5-18).)  Pursuant to the Commission’s Generation Asset Balancing Account (GABA) and 1998 Annual Transition Cost Proceeding decisions, PG&amp;E estimated the market value of its remaining non-nuclear generating facilities at $2.8 billion at a minimum and made entries into the Transition Cost Balancing Account (TCBA) and the GABA which demonstrate that PG&amp;E has fully recovered its uneconomic transition costs.  (</w:t>
      </w:r>
      <w:r>
        <w:rPr>
          <w:i/>
          <w:iCs/>
        </w:rPr>
        <w:t>See</w:t>
      </w:r>
      <w:r>
        <w:rPr/>
        <w:t xml:space="preserve"> D. 00-02-048; D.00-06-004; Advice 2048-E (October 26, 2000); Advice 2049-E (October 26, 2000).)  PG&amp;E is willing to stipulate that it will bear the risk that a final lawful and supportable valuation of its remaining non-nuclear generating assets consistent with AB 1890 may be lower.  Applying the $2.8 billion valuation using the Commission’s adopted procedures, the rate freeze ended no later than August 2000.  If the valuation ultimately is higher than $2.8 billion, which PG&amp;E believes will be the case, the rate freeze end date will be earlier and PG&amp;E will true-up the TCBA and TRA accordingly.  An earlier end to the rate freeze is consistent with the intent of AB 1890 and numerous Commission decisions.  (</w:t>
      </w:r>
      <w:r>
        <w:rPr>
          <w:i/>
          <w:iCs/>
        </w:rPr>
        <w:t>See, e.g.</w:t>
      </w:r>
      <w:r>
        <w:rPr/>
        <w:t>, Public Utilities Code § 330(t); D.95-15-063 at p. 143; D.99-02-099 at p. 9.)</w:t>
      </w:r>
    </w:p>
    <w:p>
      <w:pPr>
        <w:pStyle w:val="Normal"/>
        <w:spacing w:lineRule="atLeast" w:line="480"/>
        <w:ind w:firstLine="720" w:end="0"/>
        <w:rPr/>
      </w:pPr>
      <w:r>
        <w:rPr/>
        <w:t>The CPUC recognized that the date on which the AB 1890 rate freeze period ended may not be known until several months after the fact, because of the timing of interim and final valuation proceedings associated with any retained utility generation assets.  (D.99-10-057 at p. 3, App. B ¶¶ 3-4;  D.00-03-058 at pp. 3, 18.)  Thus, in PG&amp;E’s case, due to the after-the-fact determination that its rate freeze ended no later than during August, 2000, there has been a lag between when the rate freeze ends and when the new post-freeze rates go into effect.  Nonetheless, the CPUC decisions provide for a true up, covering the period between the end of the rate freeze end and the effective date of the new rates.  (</w:t>
      </w:r>
      <w:r>
        <w:rPr>
          <w:i/>
          <w:iCs/>
        </w:rPr>
        <w:t xml:space="preserve">See, e.g., </w:t>
      </w:r>
      <w:r>
        <w:rPr/>
        <w:t>D.00-03-058, mimeo at p. 16 (“The Rate Freeze Termination Decision holds that if the rate freeze ends before a utility’s rates are changed, overcollected CTC will be refunded to customers.”).)</w:t>
      </w:r>
    </w:p>
    <w:p>
      <w:pPr>
        <w:pStyle w:val="Normal"/>
        <w:spacing w:lineRule="atLeast" w:line="480"/>
        <w:ind w:firstLine="720" w:end="0"/>
        <w:rPr/>
      </w:pPr>
      <w:r>
        <w:rPr/>
        <w:t>In compliance with the Commission’s post-transition electric ratemaking decisions and concurrent with this Application, PG&amp;E has filed its end-of-freeze tariffs.  (</w:t>
      </w:r>
      <w:r>
        <w:rPr>
          <w:i/>
          <w:iCs/>
        </w:rPr>
        <w:t>See,</w:t>
      </w:r>
      <w:r>
        <w:rPr/>
        <w:t xml:space="preserve"> Advice No. 2057-E (November 22, 2000).)  Absent adoption of this Application, PG&amp;E’s end-of-freeze tariffs will go into effect within 30 days of filing, subject to the Energy Division determining that the tariffs are in compliance with the Commission’s decisions.  (D.99-10-057, Ordering ¶ 1, mimeo at p. 39.)  However, this Application proposes that the interim RSP rates and tariffs supersede PG&amp;E EOF tariffs effective January 1, 2001, so that the customers will be protected against the volatility of wholesale electric prices which they would otherwise experience if the RSP were not adopted.</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Customers Are Responsible For The Unrecovered Amounts PG&amp;E Paid For Wholesale Electricity During and After The Rate Freeze, As Well As The Full Cost Of Reasonable Wholesale Electricity Costs On An Ongoing Basis</w:t>
      </w:r>
    </w:p>
    <w:p>
      <w:pPr>
        <w:pStyle w:val="BodyText"/>
        <w:rPr/>
      </w:pPr>
      <w:r>
        <w:rPr/>
        <w:t>Under current CPUC decisions, customers at a minimum are responsible for the amounts recorded into the TRA from the date the rate freeze ended.  On an ongoing basis, they are further responsible for all wholesale electric commodity costs reasonably incurred after the freeze.  As indicated in numerous filings, PG&amp;E believes customers are also responsible for the unrecovered costs of service incurred during the rate freeze.  (</w:t>
      </w:r>
      <w:r>
        <w:rPr>
          <w:i/>
          <w:iCs/>
        </w:rPr>
        <w:t>See, e.g.,</w:t>
      </w:r>
      <w:r>
        <w:rPr/>
        <w:t xml:space="preserve"> “Emergency Petition For Expedited Modification Of The CPUC’s Post-Transition Electric Ratemaking Decisions,” October 4, 2000; A.99-01-016, et al.; PG&amp;E vs. Lynch, </w:t>
      </w:r>
      <w:r>
        <w:rPr>
          <w:i/>
          <w:iCs/>
        </w:rPr>
        <w:t>et al</w:t>
      </w:r>
      <w:r>
        <w:rPr/>
        <w:t>., “Complaint for Injunctive and Declaratory Relief,” November 8, 2000, C004128, United States District Court, Northern District of California.)  Because of the recent and continuing high costs of wholesale power, PG&amp;E proposes a rate stabilization plan to smooth out the recovery of these costs and protect customers from rate shocks, while at the same time ensuring that PG&amp;E’s financial crisis does not worsen.</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The Policies of the Governor of California and the California Legislature Require the Commission to Consider a Rate Stabilization Plan for PG&amp;E</w:t>
      </w:r>
    </w:p>
    <w:p>
      <w:pPr>
        <w:pStyle w:val="BodyText"/>
        <w:rPr/>
      </w:pPr>
      <w:r>
        <w:rPr/>
        <w:t>In October 2000, when California Governor Gray Davis vetoed AB 1156, which would have used state money to soften the blow to SDG&amp;E ratepayers of high bills, he stated:</w:t>
      </w:r>
    </w:p>
    <w:p>
      <w:pPr>
        <w:pStyle w:val="Quote"/>
        <w:rPr/>
      </w:pPr>
      <w:r>
        <w:rPr/>
        <w:t>[T]he current path of unconscionable wholesale energy prices will lead to bankrupting California's utilities. California's consumers have a legitimate need for California's utilities to remain solvent. Without financially viable utilities, no California-based entity will exist that will be sufficiently solvent to invest in the new electrical generation and transmission facilities necessary to solve our energy problems.</w:t>
      </w:r>
      <w:r>
        <w:rPr>
          <w:rStyle w:val="FootnoteCharacters"/>
          <w:rStyle w:val="FootnoteReference"/>
          <w:rFonts w:eastAsia="Times New Roman" w:cs="Times New Roman"/>
          <w:sz w:val="24"/>
          <w:szCs w:val="24"/>
        </w:rPr>
        <w:footnoteReference w:id="5"/>
      </w:r>
      <w:r>
        <w:rPr>
          <w:vertAlign w:val="superscript"/>
        </w:rPr>
        <w:t>/</w:t>
      </w:r>
    </w:p>
    <w:p>
      <w:pPr>
        <w:pStyle w:val="BodyText"/>
        <w:rPr/>
      </w:pPr>
      <w:r>
        <w:rPr/>
        <w:t>Similarly, when high wholesale electricity price shocks occurred in SDG&amp;E’s service territory,  the Legislature enacted AB 265, which established a retail bill cap on wholesale electricity costs to protect SDG&amp;E customers, while providing SDG&amp;E with a statutory right to recover the deferred amounts to the extent prudent over a reasonable period.  (Public Utilities Code § 332.1(b), (c).)  The starting electric energy rate component proposed in PG&amp;E’s RSP—about 6.5 cents per kWh—is comparable to the 6.5 cents per kWh endorsed by the Legislature in AB 265.</w:t>
      </w:r>
    </w:p>
    <w:p>
      <w:pPr>
        <w:pStyle w:val="BodyText"/>
        <w:rPr/>
      </w:pPr>
      <w:r>
        <w:rPr/>
        <w:t>In August 2000, the Legislature also passed Assembly Joint Resolution (AJR) 77, in which it required the CPUC to examine ways to protect customers from wholesale price volatility while also protecting the financial viability of PG&amp;E and Southern California Edison Company (SCE), the two utilities remaining under AB 1890’s temporary rate freeze.  In pertinent part, AJR 77 called on the Commission to initiate an investigation by September 21, 2000, addressing “methods to eliminate price volatility for consumers, and methods of cost recovery and allocation” applicable to PG&amp;E and SCE under their current AB 1890 rate freeze.  AJR 77 (Keeley), August 31, 2000, Res. Chapter 153, California Statutes of 2000.</w:t>
      </w:r>
    </w:p>
    <w:p>
      <w:pPr>
        <w:pStyle w:val="BodyText"/>
        <w:rPr/>
      </w:pPr>
      <w:r>
        <w:rPr/>
        <w:t xml:space="preserve">These policies enunciated by the Governor and the Legislature indicate that adoption of PG&amp;E’s Rate Stabilization Plan is consistent with—and in fact, mandated by—the policies of the State of California. </w:t>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IMPLEMENTATION of PG&amp;E’s RATE STABILIZATION PLAN</w:t>
      </w:r>
    </w:p>
    <w:p>
      <w:pPr>
        <w:pStyle w:val="BodyText"/>
        <w:rPr/>
      </w:pPr>
      <w:r>
        <w:rPr/>
        <w:t>PG&amp;E’s RSP can be broken down into three components.  The first deals with the proposed stabilized rate for electric energy commodity costs and the associated accounting to ensure that PG&amp;E collects any deferred charges.  The second deals with the recovery of the undercollections recorded in the TRA both during and after the rate freeze.  The third deals with an increase in the CARE discount to help protect those customers most vulnerable to rate increases.  Each is discussed below.  More detailed discussions are contained in the prepared testimony.</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Rate Stabilization For Energy Rate Component On Utility Bills</w:t>
      </w:r>
    </w:p>
    <w:p>
      <w:pPr>
        <w:pStyle w:val="BodyText"/>
        <w:rPr/>
      </w:pPr>
      <w:r>
        <w:rPr/>
        <w:t xml:space="preserve">PG&amp;E proposes that rather than automatically pass through the actual cost of wholesale energy directly to bundled service customers in their monthly bills, the CPUC establish a stabilized electric energy rate component comparable to  that adopted for SDG&amp;E.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Determination And Calculation Of Stabilized Price</w:t>
      </w:r>
    </w:p>
    <w:p>
      <w:pPr>
        <w:pStyle w:val="BodyText"/>
        <w:rPr/>
      </w:pPr>
      <w:r>
        <w:rPr/>
        <w:t>PG&amp;E proposes that the amounts billed for the electric energy commodity be based on an initial price comparable to the 6.5 cents per kWh rate cap applied to SDG&amp;E by AB 265.  The difference between the wholesale power costs and revenues received will be tracked in the newly created Deferred Procurement Revenue Account (DPRA).  Each year, on December 15, PG&amp;E will file an advice letter to adjust the commodity rate starting on January 1 of the next year.  The new commodity rate will be calculated based on the initial price of 6.5 cents per kWh, plus an adjustment.  The adjustment will be determined by taking the amount over or undercollected in the DPRA and dividing it by PG&amp;E’s forecast of sales over the next two years.  This advice letter will become effective automatically on January, 1.  No Commission resolution will be required.</w:t>
      </w:r>
    </w:p>
    <w:p>
      <w:pPr>
        <w:pStyle w:val="BodyText"/>
        <w:rPr>
          <w:b/>
          <w:bCs/>
        </w:rPr>
      </w:pPr>
      <w:r>
        <w:rPr/>
        <w:t xml:space="preserve">Should the actual electric commodity prices remain substantially above the stabilized price, causing large undercollections in the DPRA to accrue, PG&amp;E’s creditworthiness and ability to finance the ongoing and growing undercollection could again be threatened.  Accordingly, PG&amp;E proposes up to two possible one cent per kWh adjustments during any given year.  Adjustments would be triggered if the undercollected electric energy costs in the DPRA increased more than $1 billion since the last trigger, or if the total undercollected electric energy costs in the DPRA and the Unrecovered Cost of Service Account (discussed below) exceed a predetermined amount, starting at $4.5 billion in 2001, and reducing over time.  Such mid-year adjustments would be accomplished through advice filings and would become effective immediately and automatically.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Duration Of The Rate Stabilization Plan</w:t>
      </w:r>
    </w:p>
    <w:p>
      <w:pPr>
        <w:pStyle w:val="BodyText"/>
        <w:rPr/>
      </w:pPr>
      <w:r>
        <w:rPr/>
        <w:t>PG&amp;E proposes that the RSP be in effect for five years.  PG&amp;E believes that five years is the prudent duration necessary to ensure that wholesale markets are brought back into normal condition, long-term electric supply is balanced against demand, and the financial interests of both customers and PG&amp;E’s shareholders are protected.</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Relationship To Other Rate Components</w:t>
      </w:r>
    </w:p>
    <w:p>
      <w:pPr>
        <w:pStyle w:val="BodyText"/>
        <w:rPr/>
      </w:pPr>
      <w:r>
        <w:rPr/>
        <w:t>The electric commodity component of the bill and the stabilized rate would not affect any other rate components under the unbundling principles adopted by AB 1890 and implemented in Commission decisions.</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 xml:space="preserve">Customer Classes Eligible for Rate Stabilization </w:t>
      </w:r>
    </w:p>
    <w:p>
      <w:pPr>
        <w:pStyle w:val="BodyText"/>
        <w:rPr/>
      </w:pPr>
      <w:r>
        <w:rPr/>
        <w:t>The stabilized commodity price would be mandatory for customers on the following rate schedules:</w:t>
      </w:r>
    </w:p>
    <w:p>
      <w:pPr>
        <w:pStyle w:val="Bullet2"/>
        <w:numPr>
          <w:ilvl w:val="0"/>
          <w:numId w:val="3"/>
        </w:numPr>
        <w:tabs>
          <w:tab w:val="clear" w:pos="720"/>
          <w:tab w:val="left" w:pos="0" w:leader="none"/>
        </w:tabs>
        <w:ind w:hanging="432" w:start="1296"/>
        <w:rPr>
          <w:rFonts w:ascii="Times New Roman" w:hAnsi="Times New Roman" w:eastAsia="Times New Roman" w:cs="Times New Roman"/>
        </w:rPr>
      </w:pPr>
      <w:r>
        <w:rPr>
          <w:rFonts w:eastAsia="Times New Roman" w:cs="Times New Roman" w:ascii="Times New Roman" w:hAnsi="Times New Roman"/>
        </w:rPr>
        <w:t>All residential rate schedules;</w:t>
      </w:r>
    </w:p>
    <w:p>
      <w:pPr>
        <w:pStyle w:val="Bullet2"/>
        <w:numPr>
          <w:ilvl w:val="0"/>
          <w:numId w:val="3"/>
        </w:numPr>
        <w:tabs>
          <w:tab w:val="clear" w:pos="720"/>
          <w:tab w:val="left" w:pos="0" w:leader="none"/>
        </w:tabs>
        <w:ind w:hanging="432" w:start="1296"/>
        <w:rPr>
          <w:rFonts w:ascii="Times New Roman" w:hAnsi="Times New Roman" w:eastAsia="Times New Roman" w:cs="Times New Roman"/>
        </w:rPr>
      </w:pPr>
      <w:r>
        <w:rPr>
          <w:rFonts w:eastAsia="Times New Roman" w:cs="Times New Roman" w:ascii="Times New Roman" w:hAnsi="Times New Roman"/>
        </w:rPr>
        <w:t>All agricultural rate schedules;</w:t>
      </w:r>
    </w:p>
    <w:p>
      <w:pPr>
        <w:pStyle w:val="Bullet2"/>
        <w:numPr>
          <w:ilvl w:val="0"/>
          <w:numId w:val="3"/>
        </w:numPr>
        <w:tabs>
          <w:tab w:val="clear" w:pos="720"/>
          <w:tab w:val="left" w:pos="0" w:leader="none"/>
        </w:tabs>
        <w:ind w:hanging="432" w:start="1296"/>
        <w:rPr>
          <w:rFonts w:ascii="Times New Roman" w:hAnsi="Times New Roman" w:eastAsia="Times New Roman" w:cs="Times New Roman"/>
        </w:rPr>
      </w:pPr>
      <w:r>
        <w:rPr>
          <w:rFonts w:eastAsia="Times New Roman" w:cs="Times New Roman" w:ascii="Times New Roman" w:hAnsi="Times New Roman"/>
        </w:rPr>
        <w:t>Commercial rate schedules A-1, A-6, A-15, A-10 and E-19 V (voluntary), E-36 and E-37; and</w:t>
      </w:r>
    </w:p>
    <w:p>
      <w:pPr>
        <w:pStyle w:val="Bullet2"/>
        <w:numPr>
          <w:ilvl w:val="0"/>
          <w:numId w:val="3"/>
        </w:numPr>
        <w:tabs>
          <w:tab w:val="clear" w:pos="720"/>
          <w:tab w:val="left" w:pos="0" w:leader="none"/>
        </w:tabs>
        <w:ind w:hanging="432" w:start="1296"/>
        <w:rPr>
          <w:rFonts w:ascii="Times New Roman" w:hAnsi="Times New Roman" w:eastAsia="Times New Roman" w:cs="Times New Roman"/>
        </w:rPr>
      </w:pPr>
      <w:r>
        <w:rPr>
          <w:rFonts w:eastAsia="Times New Roman" w:cs="Times New Roman" w:ascii="Times New Roman" w:hAnsi="Times New Roman"/>
        </w:rPr>
        <w:t>Streetlighting rate schedules OL-1, LS-1, LS-2, LS-3 and TC-1;</w:t>
      </w:r>
    </w:p>
    <w:p>
      <w:pPr>
        <w:pStyle w:val="BodyText"/>
        <w:rPr/>
      </w:pPr>
      <w:r>
        <w:rPr/>
        <w:t>Starting March 31, 2001, customers served on Schedules S, E-19 M (mandatory), E-20 and E-25 may opt into the plan.  Customers choosing to participate will have to enter into 12-month contracts and will be responsible for any undercollections (and PG&amp;E will refund any overcollections) at the end of such contracts.</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Applicability to Direct Access Customers</w:t>
      </w:r>
    </w:p>
    <w:p>
      <w:pPr>
        <w:pStyle w:val="BodyText"/>
        <w:rPr/>
      </w:pPr>
      <w:r>
        <w:rPr/>
        <w:t>Like  bundled service customers, direct access customers on mandatory rate schedules will receive the benefit and pay the cost of price stabilization.  If the stabilized price is lower than the actual price, the direct access customer will see a credit on its bill equal to the difference between these two charges or will directly receive the benefits of the stabilized rate through some similar approach .  If the stabilized price exceeds the actual price, the direct access customer will see a charge equal to the difference between these two charges.  These charges and credits will be recorded in the DPRA and will appear on the bill as the Direct Access Rate Stabilization Adjustment.</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Accounting Mechanisms For Tracking Uncollected Amounts And Allowing For Later Collection.</w:t>
      </w:r>
    </w:p>
    <w:p>
      <w:pPr>
        <w:pStyle w:val="BodyText"/>
        <w:rPr/>
      </w:pPr>
      <w:r>
        <w:rPr/>
        <w:t xml:space="preserve">The PTER decisions envision the creation of the PECA into which PG&amp;E is to book the costs of wholesale energy and the revenues received from customers.  Under the RSP, the PECA will be modified to record the revenue absent the effect of stabilization while the DPRA will be established to record the under or overcollections from customers associated with the mandatory RSP, as well as amounts credited to or received from direct access customers.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Non-Bypassability Of DPRA Amounts</w:t>
      </w:r>
    </w:p>
    <w:p>
      <w:pPr>
        <w:pStyle w:val="BodyText"/>
        <w:rPr/>
      </w:pPr>
      <w:r>
        <w:rPr/>
        <w:t>For all customers with demands less than 500 kW who are in the mandatory RSP, PG&amp;E proposes that the repayment of any accrued undercollection in the DPRA be nonbypassable.  That is, a customer cannot avoid its obligation to pay the unrecovered amount by remaining in the same location and taking service from an alternative distribution provider.  This is consistent with the nonbypassable nature of competition transition charges and trust transfer amounts.  Failure to make an accrued undercollection nonbypassable would create a perverse incentive for customers to remain with PG&amp;E when PG&amp;E’s prices are below actual wholesale prices (and PG&amp;E loses money by serving the customer) but switch to alternative distribution providers when wholesale prices are lower.  It would also be inequitable to leave remaining customers to foot the bill for the departing customer’s obligation under the RSP.</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Amortization Of Undercollected TRA Costs</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Unrecovered Cost of Service Account</w:t>
      </w:r>
    </w:p>
    <w:p>
      <w:pPr>
        <w:pStyle w:val="BodyText"/>
        <w:rPr/>
      </w:pPr>
      <w:r>
        <w:rPr/>
        <w:t>The amounts recorded in the TRA can be broken down into two categories.  The first category contains the amounts recorded into the TRA during the rate freeze.  Approximately $2.2 billion of undercollected wholesale energy costs were recorded into the TRA before the rate freeze ended, assuming an August 2000 end date.  If the final valuation for hydroelectric and other non-nuclear assets is greater than $2.8 billion, as PG&amp;E expects, the end date will move earlier, and the total negative amount recorded in the TRA during this period will decrease.</w:t>
      </w:r>
    </w:p>
    <w:p>
      <w:pPr>
        <w:pStyle w:val="BodyText"/>
        <w:rPr/>
      </w:pPr>
      <w:r>
        <w:rPr/>
        <w:t>PG&amp;E has set forth in numerous filings its position regarding why these undercollected TRA amounts are recoverable and will not repeat them here.</w:t>
      </w:r>
      <w:r>
        <w:rPr>
          <w:rStyle w:val="FootnoteCharacters"/>
          <w:rStyle w:val="FootnoteReference"/>
        </w:rPr>
        <w:footnoteReference w:id="6"/>
      </w:r>
      <w:r>
        <w:rPr>
          <w:vertAlign w:val="superscript"/>
        </w:rPr>
        <w:t>/</w:t>
      </w:r>
      <w:r>
        <w:rPr/>
        <w:t xml:space="preserve">  The Commission clearly has the authority under Section 1708 to amend its earlier decisions consistent with the intent and requirements of AB 1890 and to allow PG&amp;E to recover these amounts spent to serve customers during the rate freeze.</w:t>
      </w:r>
    </w:p>
    <w:p>
      <w:pPr>
        <w:pStyle w:val="BodyText"/>
        <w:rPr/>
      </w:pPr>
      <w:r>
        <w:rPr/>
        <w:t>The second category contains the amounts recorded into the TRA after the rate freeze ends but before the new post-freeze rates are approved.  Under current ratemaking, after the rate freeze ends, the costs of procurement are to be passed directly on to PG&amp;E’s bundled service customers and immediately reflected in rates.  The PTER decisions recognized it would be impossible to determine in advance exactly when the conditions for ending the transition cost recovery period were met.  These decisions further recognized that rates would not actually change until the CPUC had approved them.  Thus, the CPUC called for a true up.  Consistent with these decisions, PG&amp;E should be allowed to recover the amounts recorded in the TRA after the rate freeze.</w:t>
      </w:r>
    </w:p>
    <w:p>
      <w:pPr>
        <w:pStyle w:val="BodyText"/>
        <w:rPr/>
      </w:pPr>
      <w:r>
        <w:rPr/>
        <w:t>PG&amp;E believes TRA undercollections incurred by it on behalf of its customers should be recovered in retail rates over a reasonable period of time, subject to the RSP.  To accomplish this, PG&amp;E proposes to transfer the undercollected amounts in the TRA as of January 1, 2001 to the proposed Unrecovered Cost of Service Account (UCSA).  To minimize the immediate rate impacts of the UCSA, PG&amp;E proposes to credit a portion of its ongoing earnings from retained generation, such as Diablo Canyon and hydroelectric facilities, against any undercollection in the UCSA.  In the case of Diablo Canyon, 100 percent of earnings above ICIP prices between the end of the freeze and the end of 2002 would be credited against the UCSA, subject to deferred recovery of the shareholder share of such earnings from the ratepayers’ per kWh share of such earnings during 2003- 2005 when wholesale prices are expected to be lower.  In the case of hydroelectric generation, 90 percent of earnings above a cost of service formula for the facilities based on a minimum $2.8 billion valuation would be credited to the UCSA during the RSP period, subject to deferred recovery of the earnings allocable to shareholders during the period in accordance with AB 1890 and existing Commission decisions.</w:t>
      </w:r>
    </w:p>
    <w:p>
      <w:pPr>
        <w:pStyle w:val="BodyText"/>
        <w:rPr/>
      </w:pPr>
      <w:r>
        <w:rPr/>
        <w:t xml:space="preserve">PG&amp;E would then collect the amounts in the UCSA from all customers  (including bundled service and direct access).  This amount would appear on the bill along with other non-bypassable CTC charges, independent of all other charges.  The amount in the UCSA would collect interest at the 90-day commercial paper rate applicable to regulatory accounts.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Duration of UCSA</w:t>
      </w:r>
    </w:p>
    <w:p>
      <w:pPr>
        <w:pStyle w:val="BodyText"/>
        <w:rPr/>
      </w:pPr>
      <w:r>
        <w:rPr/>
        <w:t>PG&amp;E proposes that it be allowed to recover the USCA amounts in five years.  The rate for recovery would set at that anticipated to amortize the entire USCA amount over the period.  The USCA collection would continue until all amounts are collected.  If energy use differs from estimates, such that the USCA amounts are collected sooner than anticipated, collection will end early.  Similarly, if energy use differs from estimates, such that the USCA amounts are not collected within the five years, the USCA collection will continue until complete.</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Customer Classes Subject to UCSA</w:t>
      </w:r>
    </w:p>
    <w:p>
      <w:pPr>
        <w:pStyle w:val="BodyText"/>
        <w:rPr/>
      </w:pPr>
      <w:r>
        <w:rPr/>
        <w:t xml:space="preserve">The UCSA surcharge would be similar to the CTC charges that survive the rate freeze.  It would apply to all customer classes, regardless of whether they are fully bundled or direct access customers.  Although direct access customers may not have received energy from PG&amp;E, they did receive negative bills, based on the PX credit.  These negative bills contributed to the build up of the TRA amounts.  Because all customers contributed to the TRA buildup, this charge would be non-bypassable, such that any customer opting for direct access or leaving PG&amp;E’s system to take energy from different distribution provider would still have to pay the UCSA surcharge.  </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The CARE Discount</w:t>
      </w:r>
    </w:p>
    <w:p>
      <w:pPr>
        <w:pStyle w:val="BodyText"/>
        <w:rPr/>
      </w:pPr>
      <w:r>
        <w:rPr/>
        <w:t>As part of the RSP, PG&amp;E proposes raising the CARE discount from 15 to 25 percent of the fully bundled rate.  PG&amp;E further proposes expanding its outreach program to encourage those eligible for the CARE program to take advantage of it.  Thus, those most vulnerable to rate shock will be given the most protection.</w:t>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Relationship to other proceedings</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End Of Freeze Tariffs Under PTER Decisions</w:t>
      </w:r>
    </w:p>
    <w:p>
      <w:pPr>
        <w:pStyle w:val="BodyText"/>
        <w:rPr/>
      </w:pPr>
      <w:r>
        <w:rPr/>
        <w:t>PG&amp;E filed concurrently with this Application the end of freeze tariffs called for in D.99-10-057.  Consistent with D.99-10-057, PG&amp;E has asked that those rates become effective on January 1, 2001.  PG&amp;E proposes that this Rate Stabilization Plan be adopted on an interim basis effective January 1, 2001 and thus supersede those end of freeze tariffs.</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1999 General Rate Case, Phase II</w:t>
      </w:r>
    </w:p>
    <w:p>
      <w:pPr>
        <w:pStyle w:val="BodyText"/>
        <w:rPr/>
      </w:pPr>
      <w:r>
        <w:rPr/>
        <w:t>Phase II of the GRC is currently ongoing.  In Phase II, the Commission will decide how to allocate the revenue requirements among different classes of customers.  Phase II is revenue neutral.  It will result in new tariffs that specify how much each customer class will pay for distribution services.  The proposed RSP should not be affected by the GRC II decision.</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FERC Wholesale Investigation</w:t>
      </w:r>
    </w:p>
    <w:p>
      <w:pPr>
        <w:pStyle w:val="BodyText"/>
        <w:rPr/>
      </w:pPr>
      <w:r>
        <w:rPr/>
        <w:t>Various actions are currently pending at FERC related to the wholesale power market.  FERC has also instituted an investigation into California’s wholesale power market.  If FERC acts to lower rates or otherwise fix the market, those lower rates will result in faster recovery of any undercollected amounts.  If FERC were to order refunds to the California utilities and the Commission otherwise has approved the recovery of the TRA undercollection proposed in this Application, any amounts collected would be credited to the UCSA, thus reducing the amounts to be recovered from customers.</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Review of The Utility’s Role In Procurement</w:t>
      </w:r>
    </w:p>
    <w:p>
      <w:pPr>
        <w:pStyle w:val="BodyText"/>
        <w:rPr/>
      </w:pPr>
      <w:r>
        <w:rPr/>
        <w:t>Numerous stakeholders have raised the issue of whether and to what extent the utilities should be the default procurer of electricity.  As part of its longer term program to mitigate wholesale pricing volatility through forward contracting and other alternatives to reliance on spot markets, PG&amp;E may file supplemental proposals in this proceeding or other Commission proceedings that may address PG&amp;E’s role and the role of its core and non-core electric customers in electric energy procurement during and after the RSP period.</w:t>
      </w:r>
    </w:p>
    <w:p>
      <w:pPr>
        <w:pStyle w:val="Heading1"/>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Benefits to ratepayers</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Rate Stabilization Plan</w:t>
      </w:r>
    </w:p>
    <w:p>
      <w:pPr>
        <w:pStyle w:val="BodyText"/>
        <w:rPr/>
      </w:pPr>
      <w:r>
        <w:rPr/>
        <w:t>Ratepayers will benefit from this plan by having relatively stable rates that do not gyrate wildly from month to month.  If wholesale prices remain high, the rate will go up in steady, measured increments, thus sending appropriate price signals to consumers.  If wholesale prices fall, any undercollected amounts will be recovered faster.</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Recovery Of TRA Undercollection</w:t>
      </w:r>
    </w:p>
    <w:p>
      <w:pPr>
        <w:pStyle w:val="BodyText"/>
        <w:rPr/>
      </w:pPr>
      <w:r>
        <w:rPr/>
        <w:t>Ratepayers have received from PG&amp;E power at prices significantly below the cost to PG&amp;E.  PG&amp;E was legally obligated to purchase such power for consumers from limited sources and did not have the ability to refuse the exorbitant prices demanded by generators.  While the prices were frozen during the transition cost recovery period, consumers cannot expect to have the utility foot the bill for their power.  By allowing PG&amp;E to recover the undercollected amounts in the TRA over a reasonable period, consumers will avoid the rate shock associated with immediate recovery, while allowing PG&amp;E to recover from its current financial crisis.</w:t>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Need for expedited treatment and emergency adoption</w:t>
      </w:r>
    </w:p>
    <w:p>
      <w:pPr>
        <w:pStyle w:val="BodyText"/>
        <w:rPr/>
      </w:pPr>
      <w:r>
        <w:rPr/>
        <w:t>As set forth in the prepared testimony, PG&amp;E is in a serious financial crisis, and its ability to finance these unprecedented power costs is in doubt. Accordingly, PG&amp;E has asked for interim relief pending a final outcome, as well as an expedited hearing schedule to ensure final rates go into effect no later than March 31, 2000.</w:t>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compliance with the commission’s rules of practice and procedure</w:t>
      </w:r>
    </w:p>
    <w:p>
      <w:pPr>
        <w:pStyle w:val="Heading2"/>
        <w:widowControl/>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Article 2.  Filing of Documents</w:t>
      </w:r>
    </w:p>
    <w:p>
      <w:pPr>
        <w:pStyle w:val="BodyText"/>
        <w:rPr/>
      </w:pPr>
      <w:r>
        <w:rPr/>
        <w:t>This Application and the accompanying Prepared Testimony comply with the requirements of form and process contained in Rules 2, 2.1, 2.2, 2.4, and 2.5.</w:t>
      </w:r>
    </w:p>
    <w:p>
      <w:pPr>
        <w:pStyle w:val="Heading2"/>
        <w:widowControl/>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Article 2.5.  SB 960 Rules and Procedures (Rule 6(a)(1))</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Proposed Category</w:t>
      </w:r>
    </w:p>
    <w:p>
      <w:pPr>
        <w:pStyle w:val="BodyText"/>
        <w:rPr/>
      </w:pPr>
      <w:r>
        <w:rPr/>
        <w:t>PG&amp;E proposes to categorize this Application as a “ratesetting” proceeding.</w:t>
      </w:r>
      <w:r>
        <w:rPr>
          <w:rStyle w:val="FootnoteCharacters"/>
          <w:rStyle w:val="FootnoteReference"/>
        </w:rPr>
        <w:footnoteReference w:id="7"/>
      </w:r>
      <w:r>
        <w:rPr>
          <w:vertAlign w:val="superscript"/>
        </w:rPr>
        <w:t>/</w:t>
      </w:r>
      <w:r>
        <w:rPr/>
        <w:t xml:space="preserve">  </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Need for Hearing</w:t>
      </w:r>
    </w:p>
    <w:p>
      <w:pPr>
        <w:pStyle w:val="BodyText"/>
        <w:rPr/>
      </w:pPr>
      <w:r>
        <w:rPr/>
        <w:t>PG&amp;E anticipates hearings will be needed.  PG&amp;E’s proposed expedited schedule is set forth below</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Issues To Be Considered</w:t>
      </w:r>
    </w:p>
    <w:p>
      <w:pPr>
        <w:pStyle w:val="BodyText"/>
        <w:rPr/>
      </w:pPr>
      <w:r>
        <w:rPr/>
        <w:t>The issues to be considered are described above.</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Proposed Expedited Schedule</w:t>
      </w:r>
    </w:p>
    <w:p>
      <w:pPr>
        <w:pStyle w:val="BodyText"/>
        <w:rPr/>
      </w:pPr>
      <w:r>
        <w:rPr/>
        <w:t>PG&amp;E proposes the following expedited schedule:</w:t>
      </w:r>
    </w:p>
    <w:p>
      <w:pPr>
        <w:pStyle w:val="BodyText"/>
        <w:ind w:hanging="0" w:start="1440" w:end="0"/>
        <w:rPr/>
      </w:pPr>
      <w:r>
        <w:rPr/>
        <w:t>November 22, 2000</w:t>
        <w:tab/>
        <w:tab/>
        <w:t>PG&amp;E files Application</w:t>
      </w:r>
    </w:p>
    <w:p>
      <w:pPr>
        <w:pStyle w:val="BodyText"/>
        <w:ind w:hanging="0" w:start="1440" w:end="0"/>
        <w:rPr/>
      </w:pPr>
      <w:r>
        <w:rPr/>
        <w:t>December 7, 2000</w:t>
        <w:tab/>
        <w:tab/>
        <w:t>Prehearing Conference</w:t>
      </w:r>
    </w:p>
    <w:p>
      <w:pPr>
        <w:pStyle w:val="BodyText"/>
        <w:ind w:hanging="0" w:start="1440" w:end="0"/>
        <w:rPr/>
      </w:pPr>
      <w:r>
        <w:rPr/>
        <w:t>December 21, 2000</w:t>
        <w:tab/>
        <w:tab/>
        <w:t>CPUC orders interim Implementation</w:t>
      </w:r>
    </w:p>
    <w:p>
      <w:pPr>
        <w:pStyle w:val="BodyText"/>
        <w:ind w:hanging="0" w:start="1440" w:end="0"/>
        <w:rPr/>
      </w:pPr>
      <w:r>
        <w:rPr/>
        <w:t>January 1, 2001</w:t>
        <w:tab/>
        <w:tab/>
        <w:t>Interim Rates Go Into Effect</w:t>
      </w:r>
    </w:p>
    <w:p>
      <w:pPr>
        <w:pStyle w:val="BodyText"/>
        <w:ind w:hanging="0" w:start="1440" w:end="0"/>
        <w:rPr/>
      </w:pPr>
      <w:r>
        <w:rPr/>
        <w:t>January 5, 2001</w:t>
        <w:tab/>
        <w:tab/>
        <w:t>Reply Testimony</w:t>
      </w:r>
    </w:p>
    <w:p>
      <w:pPr>
        <w:pStyle w:val="BodyText"/>
        <w:ind w:hanging="0" w:start="1440" w:end="0"/>
        <w:rPr/>
      </w:pPr>
      <w:r>
        <w:rPr/>
        <w:t>January 16, 2001</w:t>
        <w:tab/>
        <w:tab/>
        <w:t>Hearings</w:t>
      </w:r>
    </w:p>
    <w:p>
      <w:pPr>
        <w:pStyle w:val="BodyText"/>
        <w:ind w:hanging="0" w:start="1440" w:end="0"/>
        <w:rPr/>
      </w:pPr>
      <w:r>
        <w:rPr/>
        <w:t>January 29, 2001</w:t>
        <w:tab/>
        <w:tab/>
        <w:t>Concurrent Briefs</w:t>
      </w:r>
    </w:p>
    <w:p>
      <w:pPr>
        <w:pStyle w:val="BodyText"/>
        <w:ind w:hanging="0" w:start="1440" w:end="0"/>
        <w:rPr/>
      </w:pPr>
      <w:r>
        <w:rPr/>
        <w:t>February 20, 2001</w:t>
        <w:tab/>
        <w:tab/>
        <w:t>Proposed Decision</w:t>
      </w:r>
    </w:p>
    <w:p>
      <w:pPr>
        <w:pStyle w:val="BodyText"/>
        <w:ind w:hanging="0" w:start="1440" w:end="0"/>
        <w:rPr/>
      </w:pPr>
      <w:r>
        <w:rPr/>
        <w:t>March 22, 2001</w:t>
        <w:tab/>
        <w:tab/>
        <w:t>Commission Decision</w:t>
      </w:r>
    </w:p>
    <w:p>
      <w:pPr>
        <w:pStyle w:val="BodyText"/>
        <w:ind w:hanging="0" w:start="1440" w:end="0"/>
        <w:rPr/>
      </w:pPr>
      <w:r>
        <w:rPr/>
        <w:t>March 31, 2001</w:t>
        <w:tab/>
        <w:tab/>
        <w:t>New Rates Go Into Effect</w:t>
      </w:r>
    </w:p>
    <w:p>
      <w:pPr>
        <w:pStyle w:val="Heading2"/>
        <w:widowControl/>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Article 4.  Applications Generally</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Statutory and Regulatory Authority (Rule 15)</w:t>
      </w:r>
    </w:p>
    <w:p>
      <w:pPr>
        <w:pStyle w:val="BodyText"/>
        <w:rPr/>
      </w:pPr>
      <w:r>
        <w:rPr/>
        <w:t>This application is made pursuant to Sections 368, 451, 454, 490, 491, 701, 728, and 729 of the Public Utilities Code of the State of California, Articles 2, 2.5, and 4 and Rule 42 of the Commission’s Rules of Practice and Procedure.</w:t>
      </w:r>
    </w:p>
    <w:p>
      <w:pPr>
        <w:pStyle w:val="BodyText"/>
        <w:rPr/>
      </w:pPr>
      <w:r>
        <w:rPr/>
        <w:t>//</w:t>
      </w:r>
    </w:p>
    <w:p>
      <w:pPr>
        <w:pStyle w:val="BodyText"/>
        <w:rPr/>
      </w:pPr>
      <w:r>
        <w:rPr/>
        <w:t>//</w:t>
      </w:r>
      <w:r>
        <w:br w:type="page"/>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Legal Name And Principal Place Of Business (Rule 15(a))</w:t>
      </w:r>
    </w:p>
    <w:p>
      <w:pPr>
        <w:pStyle w:val="BodyText"/>
        <w:rPr/>
      </w:pPr>
      <w:r>
        <w:rPr/>
        <w:t>Applicant’s legal name is Pacific Gas and Electric Company.  Applicant’s principal place of business is San Francisco, California.  Its mailing address is Post Office Box 7442, San Francisco, California  94120.  Applicant is organized under the laws of the State of California.</w:t>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Correspondence And Communication Regarding This Application (Rule 15(b))</w:t>
      </w:r>
    </w:p>
    <w:p>
      <w:pPr>
        <w:pStyle w:val="BodyText"/>
        <w:spacing w:before="240" w:after="0"/>
        <w:rPr/>
      </w:pPr>
      <w:r>
        <w:rPr/>
        <w:t>PG&amp;E’s attorneys in this matter are Christopher J. Warner, Andrew L. Niven, Mark R. Huffman, and Adam S. Chodorow.  All correspondence and communication regarding this application should be addressed to:</w:t>
      </w:r>
    </w:p>
    <w:p>
      <w:pPr>
        <w:pStyle w:val="BodyText"/>
        <w:spacing w:lineRule="exact" w:line="240"/>
        <w:ind w:start="1440" w:end="0"/>
        <w:rPr/>
      </w:pPr>
      <w:r>
        <w:rPr/>
      </w:r>
    </w:p>
    <w:p>
      <w:pPr>
        <w:pStyle w:val="BodyText"/>
        <w:spacing w:lineRule="exact" w:line="240"/>
        <w:ind w:start="1440" w:end="0"/>
        <w:rPr/>
      </w:pPr>
      <w:r>
        <w:rPr/>
        <w:t>Mark R. Huffman</w:t>
      </w:r>
    </w:p>
    <w:p>
      <w:pPr>
        <w:pStyle w:val="BodyText"/>
        <w:spacing w:lineRule="exact" w:line="240"/>
        <w:ind w:start="1440" w:end="0"/>
        <w:rPr/>
      </w:pPr>
      <w:r>
        <w:rPr/>
        <w:t>Mail Code B30A</w:t>
      </w:r>
    </w:p>
    <w:p>
      <w:pPr>
        <w:pStyle w:val="BodyText"/>
        <w:spacing w:lineRule="exact" w:line="240"/>
        <w:ind w:start="1440" w:end="0"/>
        <w:rPr/>
      </w:pPr>
      <w:r>
        <w:rPr/>
        <w:t>P. O. Box 7442</w:t>
      </w:r>
    </w:p>
    <w:p>
      <w:pPr>
        <w:pStyle w:val="BodyText"/>
        <w:spacing w:lineRule="exact" w:line="240"/>
        <w:ind w:start="1440" w:end="0"/>
        <w:rPr/>
      </w:pPr>
      <w:r>
        <w:rPr/>
        <w:t>Pacific Gas and Electric Company</w:t>
      </w:r>
    </w:p>
    <w:p>
      <w:pPr>
        <w:pStyle w:val="BodyText"/>
        <w:spacing w:lineRule="exact" w:line="240"/>
        <w:ind w:start="1440" w:end="0"/>
        <w:rPr/>
      </w:pPr>
      <w:r>
        <w:rPr/>
        <w:t>San Francisco, CA  94120-7442</w:t>
      </w:r>
    </w:p>
    <w:p>
      <w:pPr>
        <w:pStyle w:val="BodyText"/>
        <w:tabs>
          <w:tab w:val="clear" w:pos="720"/>
          <w:tab w:val="left" w:pos="1890" w:leader="none"/>
        </w:tabs>
        <w:spacing w:lineRule="exact" w:line="240"/>
        <w:ind w:start="1440" w:end="0"/>
        <w:rPr/>
      </w:pPr>
      <w:r>
        <w:rPr/>
        <w:t>Telephone:</w:t>
        <w:tab/>
        <w:t>(415) 973-3842</w:t>
      </w:r>
    </w:p>
    <w:p>
      <w:pPr>
        <w:pStyle w:val="BodyText"/>
        <w:tabs>
          <w:tab w:val="clear" w:pos="720"/>
          <w:tab w:val="left" w:pos="1890" w:leader="none"/>
        </w:tabs>
        <w:spacing w:lineRule="exact" w:line="240"/>
        <w:ind w:start="1440" w:end="0"/>
        <w:rPr/>
      </w:pPr>
      <w:r>
        <w:rPr/>
        <w:t>Facsimile:</w:t>
        <w:tab/>
        <w:t>(415) 973-0516</w:t>
      </w:r>
    </w:p>
    <w:p>
      <w:pPr>
        <w:pStyle w:val="BodyText"/>
        <w:tabs>
          <w:tab w:val="clear" w:pos="720"/>
          <w:tab w:val="left" w:pos="1890" w:leader="none"/>
        </w:tabs>
        <w:spacing w:lineRule="exact" w:line="240"/>
        <w:ind w:start="1440" w:end="0"/>
        <w:rPr/>
      </w:pPr>
      <w:r>
        <w:rPr/>
        <w:t>Internet:</w:t>
        <w:tab/>
        <w:t>mrh2@pge.com</w:t>
        <w:br/>
      </w:r>
    </w:p>
    <w:p>
      <w:pPr>
        <w:pStyle w:val="Heading3"/>
        <w:widowControl/>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Articles Of Incorporation (Rule 16(a))</w:t>
      </w:r>
    </w:p>
    <w:p>
      <w:pPr>
        <w:pStyle w:val="BodyText"/>
        <w:rPr/>
      </w:pPr>
      <w:r>
        <w:rPr/>
        <w:t>PG&amp;E is, and ever since October 10, 1906, has been, an operating public utility corporation, organized under California law.  It is engaged principally in the business of furnishing electric and gas services in California.  A certified copy of PG&amp;E’s Restated Articles of Incorporation, effective May 6, 1998, was filed with the Commission with PG&amp;E’s Application No. 98</w:t>
        <w:noBreakHyphen/>
        <w:t>06</w:t>
        <w:noBreakHyphen/>
        <w:t xml:space="preserve">001 on June 1, 1998, and is incorporated herein by reference.  </w:t>
      </w:r>
    </w:p>
    <w:p>
      <w:pPr>
        <w:pStyle w:val="Heading2"/>
        <w:tabs>
          <w:tab w:val="clear" w:pos="720"/>
          <w:tab w:val="left" w:pos="0" w:leader="none"/>
        </w:tabs>
        <w:ind w:hanging="1440" w:start="2160"/>
        <w:rPr>
          <w:rFonts w:ascii="Times New Roman" w:hAnsi="Times New Roman" w:eastAsia="Times New Roman" w:cs="Times New Roman"/>
        </w:rPr>
      </w:pPr>
      <w:r>
        <w:rPr>
          <w:rFonts w:eastAsia="Times New Roman" w:cs="Times New Roman" w:ascii="Times New Roman" w:hAnsi="Times New Roman"/>
        </w:rPr>
        <w:t>Article 6.  Applications for Authority to Increase Rates</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Balance Sheet and Income Statement (Rule 23(a))</w:t>
      </w:r>
    </w:p>
    <w:p>
      <w:pPr>
        <w:pStyle w:val="BodyText"/>
        <w:rPr/>
      </w:pPr>
      <w:r>
        <w:rPr/>
        <w:t>PG&amp;E’s most recent balance sheet and an income statement covering the period from the close of the last year for which an annual report has been filed with the Commission to the date of the balance sheet are attached here to as Appendix A to this Application.</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Presently Effective Rates (Rule 23(b))</w:t>
      </w:r>
    </w:p>
    <w:p>
      <w:pPr>
        <w:pStyle w:val="BodyText"/>
        <w:rPr/>
      </w:pPr>
      <w:r>
        <w:rPr/>
        <w:t xml:space="preserve">The presently effective rates PG&amp;E proposes to modify are contained in Appendix B to this Application.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Proposed Rate Changes (Rule 23(c))</w:t>
      </w:r>
    </w:p>
    <w:p>
      <w:pPr>
        <w:pStyle w:val="BodyText"/>
        <w:rPr/>
      </w:pPr>
      <w:r>
        <w:rPr/>
        <w:t xml:space="preserve">The proposed rates are contained in Appendix C to this application.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Property and Equipment (Rule 23(d))</w:t>
      </w:r>
    </w:p>
    <w:p>
      <w:pPr>
        <w:pStyle w:val="BodyText"/>
        <w:rPr/>
      </w:pPr>
      <w:r>
        <w:rPr/>
        <w:t>A description of PG&amp;E’s property and equipment, with their original costs and applicable depreciation reserve is contained in Appendix D to this application.</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Summary of Earnings (Rule 23(e) and (f))</w:t>
      </w:r>
    </w:p>
    <w:p>
      <w:pPr>
        <w:pStyle w:val="BodyText"/>
        <w:rPr/>
      </w:pPr>
      <w:r>
        <w:rPr/>
        <w:t xml:space="preserve">Rule 23(e) requires that applications contain a “summary of earnings (rate of return summary) on a depreciated rate base for the test period or periods upon which applicant bases its justification for an increase.”  PG&amp;E’s summary of earnings on a depreciated basis is attached as Appendix E.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Applicant’s Exhibits (Rule 23(g))</w:t>
      </w:r>
    </w:p>
    <w:p>
      <w:pPr>
        <w:pStyle w:val="BodyText"/>
        <w:rPr/>
      </w:pPr>
      <w:r>
        <w:rPr/>
        <w:t>PG&amp;E’s prepared testimony in support of this Application is contained in a separate volume accompanying this Application.  PG&amp;E is ready to proceed with its showing as of the date of this filing.</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Depreciation Method (Rule 23(h))</w:t>
      </w:r>
    </w:p>
    <w:p>
      <w:pPr>
        <w:pStyle w:val="BodyText"/>
        <w:rPr/>
      </w:pPr>
      <w:r>
        <w:rPr/>
        <w:t>PG&amp;E’s statement of method of computing the depreciation deduction for federal income tax purposes is contained in Appendix F to this application.</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Proxy Statement (Rule 23(i))</w:t>
      </w:r>
    </w:p>
    <w:p>
      <w:pPr>
        <w:pStyle w:val="BodyText"/>
        <w:rPr/>
      </w:pPr>
      <w:r>
        <w:rPr/>
        <w:t xml:space="preserve">The capital stock of PG&amp;E’s parent company, PG&amp;E Corporation, is listed on a “national securities exchange” as defined in the Securities Exchange Act of 1934.  A copy of the Joint Proxy Statement of PG&amp;E Corporation and PG&amp;E dated March 13, 2000, was filed with the Commission with PG&amp;E’s Application No. 00-04-002 on April 3, 2000 and incorporated herein.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Type of Rate Increase Requested (Rule 23(l))</w:t>
      </w:r>
    </w:p>
    <w:p>
      <w:pPr>
        <w:pStyle w:val="BodyText"/>
        <w:rPr/>
      </w:pPr>
      <w:r>
        <w:rPr/>
        <w:t xml:space="preserve">PG&amp;E’s requested rates reflect and pass through to customers increased costs to PG&amp;E for the services and/or commodities it furnishes.  The purpose of the this Application is to pass through to customers PG&amp;E’s costs of obtaining electricity.  </w:t>
      </w:r>
    </w:p>
    <w:p>
      <w:pPr>
        <w:pStyle w:val="Heading3"/>
        <w:tabs>
          <w:tab w:val="clear" w:pos="720"/>
          <w:tab w:val="left" w:pos="0" w:leader="none"/>
        </w:tabs>
        <w:ind w:hanging="1440" w:start="2880"/>
        <w:rPr>
          <w:rFonts w:ascii="Times New Roman" w:hAnsi="Times New Roman" w:eastAsia="Times New Roman" w:cs="Times New Roman"/>
        </w:rPr>
      </w:pPr>
      <w:r>
        <w:rPr>
          <w:rFonts w:eastAsia="Times New Roman" w:cs="Times New Roman" w:ascii="Times New Roman" w:hAnsi="Times New Roman"/>
        </w:rPr>
        <w:t>Service and Notice of Application</w:t>
      </w:r>
    </w:p>
    <w:p>
      <w:pPr>
        <w:pStyle w:val="BodyText"/>
        <w:rPr/>
      </w:pPr>
      <w:r>
        <w:rPr/>
        <w:t>PG&amp;E is serving this Application on all parties on the official service lists for Phase 2 of the 1996 GRC proceeding, and the PTER proceeding.  Within ten days after filing this Application, PG&amp;E will mail a notice stating in general terms the proposed changes in rates to the entities list in Appendix G to this application, and PG&amp;E will publish a notice of the proposed changes in rates in a newspaper of general circulation in each county in its service territory.  Within 45 days after filing this Application, PG&amp;E will furnish a notice of the proposed changes in rates with the regular bills mailed to PG&amp;E’s customers.</w:t>
      </w:r>
    </w:p>
    <w:p>
      <w:pPr>
        <w:pStyle w:val="BodyText"/>
        <w:rPr/>
      </w:pPr>
      <w:r>
        <w:rPr/>
        <w:t>//</w:t>
      </w:r>
    </w:p>
    <w:p>
      <w:pPr>
        <w:pStyle w:val="BodyText"/>
        <w:rPr/>
      </w:pPr>
      <w:r>
        <w:rPr/>
        <w:t>//</w:t>
      </w:r>
      <w:r>
        <w:br w:type="page"/>
      </w:r>
    </w:p>
    <w:p>
      <w:pPr>
        <w:pStyle w:val="Heading1"/>
        <w:widowControl/>
        <w:tabs>
          <w:tab w:val="clear" w:pos="720"/>
          <w:tab w:val="left" w:pos="0" w:leader="none"/>
        </w:tabs>
        <w:ind w:hanging="1440" w:start="1440"/>
        <w:rPr>
          <w:rFonts w:ascii="Times New Roman" w:hAnsi="Times New Roman" w:eastAsia="Times New Roman" w:cs="Times New Roman"/>
        </w:rPr>
      </w:pPr>
      <w:r>
        <w:rPr>
          <w:rFonts w:eastAsia="Times New Roman" w:cs="Times New Roman" w:ascii="Times New Roman" w:hAnsi="Times New Roman"/>
        </w:rPr>
        <w:t>conclusion</w:t>
      </w:r>
    </w:p>
    <w:p>
      <w:pPr>
        <w:pStyle w:val="BodyText"/>
        <w:rPr/>
      </w:pPr>
      <w:r>
        <w:rPr/>
        <w:t>PG&amp;E respectfully requests the Commission to issue an order:</w:t>
      </w:r>
    </w:p>
    <w:p>
      <w:pPr>
        <w:pStyle w:val="BodyText"/>
        <w:numPr>
          <w:ilvl w:val="0"/>
          <w:numId w:val="5"/>
        </w:numPr>
        <w:tabs>
          <w:tab w:val="clear" w:pos="720"/>
          <w:tab w:val="left" w:pos="0" w:leader="none"/>
        </w:tabs>
        <w:ind w:hanging="720" w:start="1440" w:end="0"/>
        <w:rPr/>
      </w:pPr>
      <w:r>
        <w:rPr/>
        <w:t>Modifying the PTER Phase 1 and other relevant decisions to allow PG&amp;E to recover its undercollected cost of service, which were recorded in the TRA during and after the rate freeze;</w:t>
      </w:r>
    </w:p>
    <w:p>
      <w:pPr>
        <w:pStyle w:val="BodyText"/>
        <w:numPr>
          <w:ilvl w:val="0"/>
          <w:numId w:val="5"/>
        </w:numPr>
        <w:tabs>
          <w:tab w:val="clear" w:pos="720"/>
          <w:tab w:val="left" w:pos="0" w:leader="none"/>
        </w:tabs>
        <w:ind w:hanging="720" w:start="1440" w:end="0"/>
        <w:rPr/>
      </w:pPr>
      <w:r>
        <w:rPr/>
        <w:t>Approving PG&amp;E’s proposed rate structure, including the Rate Stabilization Plan for energy costs, the Unrecovered Cost of Service Account, and the increased CARE discount; and</w:t>
      </w:r>
    </w:p>
    <w:p>
      <w:pPr>
        <w:pStyle w:val="BodyText"/>
        <w:numPr>
          <w:ilvl w:val="0"/>
          <w:numId w:val="5"/>
        </w:numPr>
        <w:tabs>
          <w:tab w:val="clear" w:pos="720"/>
          <w:tab w:val="left" w:pos="0" w:leader="none"/>
        </w:tabs>
        <w:ind w:hanging="360" w:start="1440" w:end="0"/>
        <w:rPr/>
      </w:pPr>
      <w:r>
        <w:rPr/>
        <w:t>Granting such other and further relief as the Commission deems proper.</w:t>
      </w:r>
    </w:p>
    <w:p>
      <w:pPr>
        <w:pStyle w:val="BodyText"/>
        <w:rPr/>
      </w:pPr>
      <w:r>
        <w:rPr/>
      </w:r>
      <w:bookmarkStart w:id="1" w:name="PleadingCPUCModel"/>
      <w:bookmarkStart w:id="2" w:name="PleadingCPUCModel"/>
      <w:bookmarkEnd w:id="2"/>
    </w:p>
    <w:p>
      <w:pPr>
        <w:pStyle w:val="Normal"/>
        <w:widowControl/>
        <w:ind w:firstLine="4320" w:end="0"/>
        <w:rPr/>
      </w:pPr>
      <w:r>
        <w:rPr/>
        <w:t>Respectfully submitted,</w:t>
      </w:r>
    </w:p>
    <w:p>
      <w:pPr>
        <w:pStyle w:val="Normal"/>
        <w:widowControl/>
        <w:ind w:firstLine="4320" w:end="0"/>
        <w:rPr/>
      </w:pPr>
      <w:r>
        <w:rPr/>
      </w:r>
    </w:p>
    <w:p>
      <w:pPr>
        <w:pStyle w:val="Normal"/>
        <w:widowControl/>
        <w:ind w:firstLine="4320" w:end="0"/>
        <w:rPr/>
      </w:pPr>
      <w:r>
        <w:rPr/>
      </w:r>
    </w:p>
    <w:p>
      <w:pPr>
        <w:pStyle w:val="Normal"/>
        <w:widowControl/>
        <w:ind w:firstLine="4320" w:end="0"/>
        <w:rPr/>
      </w:pPr>
      <w:r>
        <w:rPr/>
      </w:r>
    </w:p>
    <w:p>
      <w:pPr>
        <w:pStyle w:val="Normal"/>
        <w:widowControl/>
        <w:ind w:firstLine="4320" w:end="0"/>
        <w:rPr/>
      </w:pPr>
      <w:r>
        <w:rPr/>
      </w:r>
    </w:p>
    <w:p>
      <w:pPr>
        <w:pStyle w:val="Normal"/>
        <w:widowControl/>
        <w:ind w:firstLine="4320" w:end="0"/>
        <w:rPr>
          <w:u w:val="single"/>
        </w:rPr>
      </w:pPr>
      <w:r>
        <w:rPr>
          <w:u w:val="single"/>
        </w:rPr>
        <w:t>/S/ KENT M. HARVEY</w:t>
        <w:tab/>
        <w:tab/>
        <w:tab/>
      </w:r>
    </w:p>
    <w:p>
      <w:pPr>
        <w:pStyle w:val="Normal"/>
        <w:widowControl/>
        <w:ind w:firstLine="4320" w:end="0"/>
        <w:rPr/>
      </w:pPr>
      <w:r>
        <w:rPr/>
        <w:t>KENT M. HARVEY</w:t>
      </w:r>
    </w:p>
    <w:p>
      <w:pPr>
        <w:pStyle w:val="Normal"/>
        <w:widowControl/>
        <w:ind w:start="4320" w:end="0"/>
        <w:rPr/>
      </w:pPr>
      <w:r>
        <w:rPr/>
        <w:t>Senior Vice President, Treasurer and Chief Financial Officer</w:t>
      </w:r>
    </w:p>
    <w:p>
      <w:pPr>
        <w:pStyle w:val="Normal"/>
        <w:widowControl/>
        <w:ind w:firstLine="4320" w:end="0"/>
        <w:rPr/>
      </w:pPr>
      <w:r>
        <w:rPr/>
        <w:t>PACIFIC GAS AND ELECTRIC COMPANY</w:t>
      </w:r>
    </w:p>
    <w:p>
      <w:pPr>
        <w:pStyle w:val="Normal"/>
        <w:widowControl/>
        <w:ind w:firstLine="4320" w:end="0"/>
        <w:rPr/>
      </w:pPr>
      <w:r>
        <w:rPr/>
      </w:r>
    </w:p>
    <w:p>
      <w:pPr>
        <w:pStyle w:val="Normal"/>
        <w:widowControl/>
        <w:rPr/>
      </w:pPr>
      <w:r>
        <w:rPr/>
      </w:r>
    </w:p>
    <w:p>
      <w:pPr>
        <w:pStyle w:val="Normal"/>
        <w:widowControl/>
        <w:rPr/>
      </w:pPr>
      <w:r>
        <w:rPr/>
        <w:t>CHRISTOPHER L. WARNER</w:t>
      </w:r>
    </w:p>
    <w:p>
      <w:pPr>
        <w:pStyle w:val="Normal"/>
        <w:widowControl/>
        <w:rPr/>
      </w:pPr>
      <w:r>
        <w:rPr/>
        <w:t>ANDREW L. NIVEN</w:t>
      </w:r>
    </w:p>
    <w:p>
      <w:pPr>
        <w:pStyle w:val="Normal"/>
        <w:widowControl/>
        <w:rPr/>
      </w:pPr>
      <w:r>
        <w:rPr/>
        <w:t>MARK R. HUFFMAN</w:t>
      </w:r>
    </w:p>
    <w:p>
      <w:pPr>
        <w:pStyle w:val="Footer"/>
        <w:widowControl/>
        <w:tabs>
          <w:tab w:val="clear" w:pos="4320"/>
          <w:tab w:val="clear" w:pos="9821"/>
        </w:tabs>
        <w:rPr/>
      </w:pPr>
      <w:r>
        <w:rPr/>
        <w:t>ADAM S. CHODOROW</w:t>
      </w:r>
    </w:p>
    <w:p>
      <w:pPr>
        <w:pStyle w:val="Normal"/>
        <w:widowControl/>
        <w:rPr/>
      </w:pPr>
      <w:r>
        <w:rPr/>
      </w:r>
    </w:p>
    <w:p>
      <w:pPr>
        <w:pStyle w:val="Normal"/>
        <w:widowControl/>
        <w:rPr/>
      </w:pPr>
      <w:r>
        <w:rPr/>
      </w:r>
    </w:p>
    <w:p>
      <w:pPr>
        <w:pStyle w:val="Normal"/>
        <w:widowControl/>
        <w:rPr>
          <w:u w:val="single"/>
        </w:rPr>
      </w:pPr>
      <w:r>
        <w:rPr>
          <w:u w:val="single"/>
        </w:rPr>
        <w:t>/S/   MARK R. HUFFMAN</w:t>
        <w:tab/>
        <w:tab/>
        <w:tab/>
      </w:r>
    </w:p>
    <w:p>
      <w:pPr>
        <w:pStyle w:val="Normal"/>
        <w:widowControl/>
        <w:rPr/>
      </w:pPr>
      <w:r>
        <w:rPr/>
        <w:t>By:  MARK R. HUFFMAN</w:t>
      </w:r>
    </w:p>
    <w:p>
      <w:pPr>
        <w:pStyle w:val="Normal"/>
        <w:widowControl/>
        <w:rPr/>
      </w:pPr>
      <w:r>
        <w:rPr/>
      </w:r>
    </w:p>
    <w:p>
      <w:pPr>
        <w:pStyle w:val="Normal"/>
        <w:widowControl/>
        <w:rPr/>
      </w:pPr>
      <w:r>
        <w:rPr/>
        <w:t>Attorneys for</w:t>
      </w:r>
    </w:p>
    <w:p>
      <w:pPr>
        <w:pStyle w:val="Footer"/>
        <w:widowControl/>
        <w:tabs>
          <w:tab w:val="clear" w:pos="4320"/>
          <w:tab w:val="clear" w:pos="9821"/>
        </w:tabs>
        <w:rPr/>
      </w:pPr>
      <w:r>
        <w:rPr/>
        <w:t>PACIFIC GAS AND ELECTRIC COMPANY</w:t>
      </w:r>
    </w:p>
    <w:p>
      <w:pPr>
        <w:pStyle w:val="Footer"/>
        <w:widowControl/>
        <w:tabs>
          <w:tab w:val="clear" w:pos="4320"/>
          <w:tab w:val="clear" w:pos="9821"/>
        </w:tabs>
        <w:rPr/>
      </w:pPr>
      <w:r>
        <w:rPr/>
        <w:t>Post Office Box 7442</w:t>
      </w:r>
    </w:p>
    <w:p>
      <w:pPr>
        <w:pStyle w:val="Normal"/>
        <w:widowControl/>
        <w:rPr/>
      </w:pPr>
      <w:r>
        <w:rPr/>
        <w:t>San Francisco, CA  94120</w:t>
      </w:r>
    </w:p>
    <w:p>
      <w:pPr>
        <w:pStyle w:val="Normal"/>
        <w:widowControl/>
        <w:rPr/>
      </w:pPr>
      <w:r>
        <w:rPr/>
        <w:t>Telephone:  (415) 973-3842</w:t>
      </w:r>
    </w:p>
    <w:p>
      <w:pPr>
        <w:pStyle w:val="Normal"/>
        <w:widowControl/>
        <w:rPr/>
      </w:pPr>
      <w:r>
        <w:rPr/>
        <w:t>Facsimile:  (415) 973-0516</w:t>
      </w:r>
    </w:p>
    <w:p>
      <w:pPr>
        <w:pStyle w:val="Normal"/>
        <w:widowControl/>
        <w:rPr/>
      </w:pPr>
      <w:r>
        <w:rPr/>
        <w:t>Internet:  mrh2@pge.com</w:t>
      </w:r>
    </w:p>
    <w:p>
      <w:pPr>
        <w:pStyle w:val="Normal"/>
        <w:widowControl/>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296" w:gutter="0" w:header="432" w:top="1440" w:footer="0" w:bottom="864"/>
          <w:pgNumType w:fmt="decimal"/>
          <w:formProt w:val="false"/>
          <w:titlePg/>
          <w:textDirection w:val="lrTb"/>
        </w:sectPr>
        <w:pStyle w:val="Normal"/>
        <w:widowControl/>
        <w:rPr/>
      </w:pPr>
      <w:r>
        <w:rPr/>
        <w:t xml:space="preserve">Dated:  </w:t>
      </w:r>
      <w:r>
        <w:rPr/>
        <w:fldChar w:fldCharType="begin"/>
      </w:r>
      <w:r>
        <w:rPr/>
        <w:instrText xml:space="preserve"> DATE \@"MMMM\ d', 'yyyy" </w:instrText>
      </w:r>
      <w:r>
        <w:rPr/>
        <w:fldChar w:fldCharType="separate"/>
      </w:r>
      <w:r>
        <w:rPr/>
        <w:t>September 28, 2025</w:t>
      </w:r>
      <w:r>
        <w:rPr/>
        <w:fldChar w:fldCharType="end"/>
      </w:r>
    </w:p>
    <w:p>
      <w:pPr>
        <w:pStyle w:val="BodyText"/>
        <w:ind w:hanging="0" w:start="3600" w:end="0"/>
        <w:rPr/>
      </w:pPr>
      <w:r>
        <w:rPr/>
      </w:r>
    </w:p>
    <w:p>
      <w:pPr>
        <w:pStyle w:val="BodyText"/>
        <w:ind w:hanging="0" w:start="3600" w:end="0"/>
        <w:rPr/>
      </w:pPr>
      <w:r>
        <w:rPr/>
        <w:t>VERIFICATION</w:t>
      </w:r>
    </w:p>
    <w:p>
      <w:pPr>
        <w:pStyle w:val="BodyText"/>
        <w:ind w:start="3600" w:end="0"/>
        <w:jc w:val="center"/>
        <w:rPr/>
      </w:pPr>
      <w:r>
        <w:rPr/>
      </w:r>
    </w:p>
    <w:p>
      <w:pPr>
        <w:pStyle w:val="Normal"/>
        <w:spacing w:lineRule="exact" w:line="480"/>
        <w:ind w:firstLine="720" w:end="0"/>
        <w:rPr/>
      </w:pPr>
      <w:r>
        <w:rPr/>
        <w:t>I, the undersigned, say:</w:t>
      </w:r>
    </w:p>
    <w:p>
      <w:pPr>
        <w:pStyle w:val="Normal"/>
        <w:spacing w:lineRule="exact" w:line="480"/>
        <w:ind w:firstLine="720" w:end="0"/>
        <w:rPr/>
      </w:pPr>
      <w:r>
        <w:rPr/>
        <w:t>I am an officer of PACIFIC GAS AND ELECTRIC COMPANY, a corporation, and am authorized to make this verification for that reason; I have read the foregoing “APPLICATION OF PACIFIC GAS AND ELECTRIC COMPANY ” and I am informed and believe the matters therein are true and on that ground I allege that the matters stated therein are true.</w:t>
      </w:r>
    </w:p>
    <w:p>
      <w:pPr>
        <w:pStyle w:val="Normal"/>
        <w:spacing w:lineRule="exact" w:line="480"/>
        <w:ind w:firstLine="720" w:end="0"/>
        <w:rPr/>
      </w:pPr>
      <w:r>
        <w:rPr/>
        <w:t>I declare under penalty of perjury that the foregoing is true and correct.</w:t>
      </w:r>
    </w:p>
    <w:p>
      <w:pPr>
        <w:pStyle w:val="Normal"/>
        <w:spacing w:lineRule="exact" w:line="480"/>
        <w:rPr/>
      </w:pPr>
      <w:r>
        <w:rPr/>
        <w:tab/>
        <w:t>Executed at San Francisco, California this 22nd day of November, 2000.</w:t>
      </w:r>
    </w:p>
    <w:p>
      <w:pPr>
        <w:pStyle w:val="Normal"/>
        <w:spacing w:lineRule="exact" w:line="480"/>
        <w:rPr/>
      </w:pPr>
      <w:r>
        <w:rPr/>
      </w:r>
    </w:p>
    <w:p>
      <w:pPr>
        <w:pStyle w:val="BodyText"/>
        <w:ind w:start="3600" w:end="0"/>
        <w:rPr/>
      </w:pPr>
      <w:r>
        <w:rPr/>
      </w:r>
    </w:p>
    <w:p>
      <w:pPr>
        <w:pStyle w:val="BodyText"/>
        <w:ind w:start="3600" w:end="0"/>
        <w:rPr>
          <w:u w:val="single"/>
        </w:rPr>
      </w:pPr>
      <w:r>
        <w:rPr>
          <w:u w:val="single"/>
        </w:rPr>
        <w:t>/S/ KENT M. HARVEY</w:t>
        <w:tab/>
        <w:tab/>
        <w:tab/>
      </w:r>
    </w:p>
    <w:p>
      <w:pPr>
        <w:pStyle w:val="Normal"/>
        <w:ind w:firstLine="720" w:start="3600" w:end="0"/>
        <w:rPr/>
      </w:pPr>
      <w:r>
        <w:rPr/>
        <w:t>KENT M. HARVEY</w:t>
      </w:r>
    </w:p>
    <w:p>
      <w:pPr>
        <w:pStyle w:val="Normal"/>
        <w:ind w:start="4320" w:end="0"/>
        <w:rPr/>
      </w:pPr>
      <w:r>
        <w:rPr/>
        <w:t>Senior Vice President, Treasurer and Chief Financial Officer</w:t>
        <w:br/>
        <w:t>PACIFIC GAS AND ELECTRIC COMPANY</w:t>
      </w:r>
    </w:p>
    <w:sectPr>
      <w:headerReference w:type="default" r:id="rId10"/>
      <w:headerReference w:type="first" r:id="rId11"/>
      <w:footerReference w:type="default" r:id="rId12"/>
      <w:footerReference w:type="first" r:id="rId13"/>
      <w:footnotePr>
        <w:numFmt w:val="decimal"/>
      </w:footnotePr>
      <w:type w:val="nextPage"/>
      <w:pgSz w:w="12240" w:h="15840"/>
      <w:pgMar w:left="1800" w:right="605" w:gutter="0" w:header="432" w:top="2304" w:footer="360" w:bottom="1080"/>
      <w:pgNumType w:start="1"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eastAsia="Arial" w:cs="Arial"/>
        <w:sz w:val="24"/>
        <w:szCs w:val="24"/>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szCs w:val="24"/>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ind w:hanging="432" w:start="432" w:end="0"/>
        <w:rPr/>
      </w:pPr>
      <w:r>
        <w:rPr>
          <w:rStyle w:val="FootnoteCharacters"/>
        </w:rPr>
        <w:footnoteRef/>
      </w:r>
      <w:r>
        <w:rPr/>
        <w:t xml:space="preserve"> </w:t>
      </w:r>
      <w:r>
        <w:rPr>
          <w:vertAlign w:val="superscript"/>
        </w:rPr>
        <w:t>/</w:t>
      </w:r>
      <w:r>
        <w:rPr/>
        <w:tab/>
      </w:r>
      <w:r>
        <w:rPr>
          <w:rFonts w:eastAsia="Times New Roman" w:cs="Times New Roman" w:ascii="Times New Roman" w:hAnsi="Times New Roman"/>
        </w:rPr>
        <w:t>In order to implement PG&amp;E’s RSP, the Commission in this proceeding should implement PG&amp;E’s EOF tariffs as modified by PG&amp;E’s RSP.</w:t>
      </w:r>
    </w:p>
  </w:footnote>
  <w:footnote w:id="3">
    <w:p>
      <w:pPr>
        <w:pStyle w:val="FootnoteText"/>
        <w:spacing w:lineRule="auto" w:line="240" w:before="0" w:after="120"/>
        <w:ind w:hanging="432" w:start="432" w:end="0"/>
        <w:rPr/>
      </w:pPr>
      <w:r>
        <w:rPr>
          <w:rStyle w:val="FootnoteCharacters"/>
        </w:rPr>
        <w:footnoteRef/>
      </w:r>
      <w:r>
        <w:rPr/>
        <w:t xml:space="preserve"> </w:t>
      </w:r>
      <w:r>
        <w:rPr>
          <w:vertAlign w:val="superscript"/>
        </w:rPr>
        <w:t>/</w:t>
      </w:r>
      <w:r>
        <w:rPr/>
        <w:tab/>
      </w:r>
      <w:r>
        <w:rPr>
          <w:rFonts w:eastAsia="Times New Roman" w:cs="Times New Roman" w:ascii="Times New Roman" w:hAnsi="Times New Roman"/>
        </w:rPr>
        <w:t>Power Exchange prices paid in October by PG&amp;E for wholesale power averaged 13.6 cents per kWh, and the only direct regulatory relief the Federal Energy Regulatory Commission (FERC) is proposing is to impose a “soft cap” on of 15 cents per kWh.  In contrast, the amount of revenue available to PG&amp;E to pay for wholesale power under its AB 1890 rate freeze is only approximately 5.3 cents per kWh.</w:t>
      </w:r>
    </w:p>
  </w:footnote>
  <w:footnote w:id="4">
    <w:p>
      <w:pPr>
        <w:pStyle w:val="FootnoteText"/>
        <w:spacing w:lineRule="auto" w:line="240" w:before="0" w:after="120"/>
        <w:ind w:hanging="432" w:start="432" w:end="0"/>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vertAlign w:val="superscript"/>
        </w:rPr>
        <w:t>/</w:t>
      </w:r>
      <w:r>
        <w:rPr/>
        <w:tab/>
      </w:r>
      <w:r>
        <w:rPr>
          <w:rFonts w:eastAsia="Times New Roman" w:cs="Times New Roman" w:ascii="Times New Roman" w:hAnsi="Times New Roman"/>
        </w:rPr>
        <w:t>At the time of this filing, the actual energy prices for November 2000 were not available (N/A).</w:t>
      </w:r>
    </w:p>
  </w:footnote>
  <w:footnote w:id="5">
    <w:p>
      <w:pPr>
        <w:pStyle w:val="FootnoteText"/>
        <w:spacing w:lineRule="auto" w:line="240" w:before="0" w:after="120"/>
        <w:ind w:hanging="432" w:start="432" w:end="0"/>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vertAlign w:val="superscript"/>
        </w:rPr>
        <w:t>/</w:t>
      </w:r>
      <w:r>
        <w:rPr>
          <w:rFonts w:eastAsia="Times New Roman" w:cs="Times New Roman" w:ascii="Times New Roman" w:hAnsi="Times New Roman"/>
        </w:rPr>
        <w:tab/>
        <w:t xml:space="preserve">The complete text of Governor Davis’ veto message can be found at </w:t>
      </w:r>
      <w:r>
        <w:rPr>
          <w:rStyle w:val="Hyperlink"/>
          <w:rFonts w:eastAsia="Times New Roman" w:cs="Times New Roman" w:ascii="Times New Roman" w:hAnsi="Times New Roman"/>
          <w:sz w:val="24"/>
          <w:szCs w:val="24"/>
        </w:rPr>
        <w:t>http://www.governor.ca.gov/briefing/pressreleases/sept00/ab1156.html</w:t>
      </w:r>
      <w:r>
        <w:rPr>
          <w:rFonts w:eastAsia="Times New Roman" w:cs="Times New Roman" w:ascii="Times New Roman" w:hAnsi="Times New Roman"/>
        </w:rPr>
        <w:t>/</w:t>
      </w:r>
    </w:p>
  </w:footnote>
  <w:footnote w:id="6">
    <w:p>
      <w:pPr>
        <w:pStyle w:val="FootnoteText"/>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vertAlign w:val="superscript"/>
        </w:rPr>
        <w:t>/</w:t>
      </w:r>
      <w:r>
        <w:rPr>
          <w:rFonts w:eastAsia="Times New Roman" w:cs="Times New Roman" w:ascii="Times New Roman" w:hAnsi="Times New Roman"/>
        </w:rPr>
        <w:tab/>
        <w:t xml:space="preserve">These filings include, among others, PG&amp;E’s pleadings in A.99-01-016 (including PG&amp;E’s petition for rehearing of Decision 99-10-057 and emergency petition for expedited modification of decisions 99-10-057 and 00-03-058), PG&amp;E’s petition to the Court of Appeal for a writ of review of CPUC Decisions 99-10-057 and 00-03-058, No. A090780, PG&amp;E’s petition to the California Supreme Court for review of A090780, and PG&amp;E’s Complaint for Injunctive And Declaratory Relief, filed in the United States District Court, Northern District of California, Case No. C004128.  </w:t>
      </w:r>
      <w:r>
        <w:rPr>
          <w:rFonts w:eastAsia="Times New Roman" w:cs="Times New Roman" w:ascii="Times New Roman" w:hAnsi="Times New Roman"/>
          <w:i/>
          <w:iCs/>
        </w:rPr>
        <w:t xml:space="preserve">See also </w:t>
      </w:r>
      <w:r>
        <w:rPr>
          <w:rFonts w:eastAsia="Times New Roman" w:cs="Times New Roman" w:ascii="Times New Roman" w:hAnsi="Times New Roman"/>
        </w:rPr>
        <w:t>the Joint Report from the President of the CPUC and Chairman of the Electricity Oversight Board to Governor Gray Davis, dated August 1, 2000:  “Generally, however, the PUC is limited in what it can do to relieve customers’ liability for these wholesale costs.  The federal “filed rate doctrine” requires States to pass through to utility customers the costs of electricity that are purchased subject to federal tariffs.  SDG&amp;E’s purchases from the ISO [Independent System Operator] and PX [Power Exchange] are federally tariffed.  Thus the FERC ultimately controls how much SDG&amp;E pays for wholesale power.  Whatever SDG&amp;E pays for power, if allowed under a federal tariff, must by federal mandate be passed through to San Diego utility customers.”</w:t>
      </w:r>
    </w:p>
    <w:p>
      <w:pPr>
        <w:pStyle w:val="BodyText3"/>
        <w:ind w:start="360" w:end="0"/>
        <w:jc w:val="start"/>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FootnoteText"/>
        <w:spacing w:before="0" w:after="120"/>
        <w:rPr>
          <w:rFonts w:ascii="Times New Roman" w:hAnsi="Times New Roman" w:eastAsia="Times New Roman" w:cs="Times New Roman"/>
        </w:rPr>
      </w:pPr>
      <w:r>
        <w:rPr>
          <w:rFonts w:eastAsia="Times New Roman" w:cs="Times New Roman" w:ascii="Times New Roman" w:hAnsi="Times New Roman"/>
        </w:rPr>
        <w:tab/>
        <w:t>Although the report refers to SDG&amp;E, PG&amp;E is similarly situated, with regard to its wholesale energy costs, and the same legal reasoning applies to its situation.</w:t>
      </w:r>
    </w:p>
  </w:footnote>
  <w:footnote w:id="7">
    <w:p>
      <w:pPr>
        <w:pStyle w:val="FootnoteText"/>
        <w:spacing w:lineRule="auto" w:line="240" w:before="0" w:after="120"/>
        <w:ind w:hanging="432" w:start="432" w:end="0"/>
        <w:rPr/>
      </w:pPr>
      <w:r>
        <w:rPr>
          <w:rStyle w:val="FootnoteCharacters"/>
        </w:rPr>
        <w:footnoteRef/>
      </w:r>
      <w:r>
        <w:rPr>
          <w:rFonts w:eastAsia="Times New Roman" w:cs="Times New Roman" w:ascii="Times New Roman" w:hAnsi="Times New Roman"/>
        </w:rPr>
        <w:t xml:space="preserve"> </w:t>
      </w:r>
      <w:r>
        <w:rPr>
          <w:rFonts w:eastAsia="Times New Roman" w:cs="Times New Roman" w:ascii="Times New Roman" w:hAnsi="Times New Roman"/>
          <w:vertAlign w:val="superscript"/>
        </w:rPr>
        <w:t>/</w:t>
      </w:r>
      <w:r>
        <w:rPr>
          <w:rFonts w:eastAsia="Times New Roman" w:cs="Times New Roman" w:ascii="Times New Roman" w:hAnsi="Times New Roman"/>
        </w:rPr>
        <w:tab/>
        <w:t>Rule 5(c) defines “ratesetting” proceedings as “proceedings in which the Commission sets or investigates rates for a specifically named utility (or utilities), or establishes a mechanism that in turn sets rates for a specifically named utility (or utilities).”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5806440" cy="14605"/>
              <wp:effectExtent l="0" t="0" r="0" b="0"/>
              <wp:wrapNone/>
              <wp:docPr id="1" name="Frame3"/>
              <a:graphic xmlns:a="http://schemas.openxmlformats.org/drawingml/2006/main">
                <a:graphicData uri="http://schemas.microsoft.com/office/word/2010/wordprocessingShape">
                  <wps:wsp>
                    <wps:cNvSpPr txBox="1"/>
                    <wps:spPr>
                      <a:xfrm>
                        <a:off x="0" y="0"/>
                        <a:ext cx="5806440" cy="14605"/>
                      </a:xfrm>
                      <a:prstGeom prst="rect"/>
                      <a:solidFill>
                        <a:srgbClr val="FFFFFF"/>
                      </a:solidFill>
                    </wps:spPr>
                    <wps:txbx>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wps:txbx>
                    <wps:bodyPr anchor="t" lIns="0" tIns="0" rIns="0" bIns="0">
                      <a:noAutofit/>
                    </wps:bodyPr>
                  </wps:wsp>
                </a:graphicData>
              </a:graphic>
            </wp:anchor>
          </w:drawing>
        </mc:Choice>
        <mc:Fallback>
          <w:pict>
            <v:rect style="position:absolute;rotation:-0;width:457.2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806440" cy="152400"/>
              <wp:effectExtent l="0" t="0" r="0" b="0"/>
              <wp:wrapNone/>
              <wp:docPr id="2" name="Frame1"/>
              <a:graphic xmlns:a="http://schemas.openxmlformats.org/drawingml/2006/main">
                <a:graphicData uri="http://schemas.microsoft.com/office/word/2010/wordprocessingShape">
                  <wps:wsp>
                    <wps:cNvSpPr txBox="1"/>
                    <wps:spPr>
                      <a:xfrm>
                        <a:off x="0" y="0"/>
                        <a:ext cx="5806440" cy="152400"/>
                      </a:xfrm>
                      <a:prstGeom prst="rect"/>
                      <a:solidFill>
                        <a:srgbClr val="FFFFFF"/>
                      </a:solidFill>
                    </wps:spPr>
                    <wps:txbx>
                      <w:txbxContent>
                        <w:p>
                          <w:pPr>
                            <w:pStyle w:val="Header"/>
                            <w:jc w:val="end"/>
                            <w:rPr>
                              <w:rFonts w:ascii="Arial" w:hAnsi="Arial" w:eastAsia="Arial" w:cs="Arial"/>
                              <w:b/>
                              <w:bCs/>
                              <w:i/>
                              <w:i/>
                              <w:iCs/>
                            </w:rPr>
                          </w:pPr>
                          <w:r>
                            <w:rPr>
                              <w:rFonts w:eastAsia="Arial" w:cs="Arial" w:ascii="Arial" w:hAnsi="Arial"/>
                              <w:b/>
                              <w:bCs/>
                              <w:i/>
                              <w:iCs/>
                            </w:rPr>
                          </w:r>
                        </w:p>
                      </w:txbxContent>
                    </wps:txbx>
                    <wps:bodyPr anchor="t" lIns="0" tIns="0" rIns="0" bIns="0">
                      <a:noAutofit/>
                    </wps:bodyPr>
                  </wps:wsp>
                </a:graphicData>
              </a:graphic>
            </wp:anchor>
          </w:drawing>
        </mc:Choice>
        <mc:Fallback>
          <w:pict>
            <v:rect style="position:absolute;rotation:-0;width:457.2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end"/>
                      <w:rPr>
                        <w:rFonts w:ascii="Arial" w:hAnsi="Arial" w:eastAsia="Arial" w:cs="Arial"/>
                        <w:b/>
                        <w:bCs/>
                        <w:i/>
                        <w:i/>
                        <w:iCs/>
                      </w:rPr>
                    </w:pPr>
                    <w:r>
                      <w:rPr>
                        <w:rFonts w:eastAsia="Arial" w:cs="Arial" w:ascii="Arial" w:hAnsi="Arial"/>
                        <w:b/>
                        <w:bCs/>
                        <w:i/>
                        <w:iCs/>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5806440" cy="152400"/>
              <wp:effectExtent l="0" t="0" r="0" b="0"/>
              <wp:wrapNone/>
              <wp:docPr id="4" name="Frame4"/>
              <a:graphic xmlns:a="http://schemas.openxmlformats.org/drawingml/2006/main">
                <a:graphicData uri="http://schemas.microsoft.com/office/word/2010/wordprocessingShape">
                  <wps:wsp>
                    <wps:cNvSpPr txBox="1"/>
                    <wps:spPr>
                      <a:xfrm>
                        <a:off x="0" y="0"/>
                        <a:ext cx="5806440" cy="152400"/>
                      </a:xfrm>
                      <a:prstGeom prst="rect"/>
                      <a:solidFill>
                        <a:srgbClr val="FFFFFF"/>
                      </a:solidFill>
                    </wps:spPr>
                    <wps:txbx>
                      <w:txbxContent>
                        <w:p>
                          <w:pPr>
                            <w:pStyle w:val="Header"/>
                            <w:jc w:val="end"/>
                            <w:rPr>
                              <w:rFonts w:ascii="Arial" w:hAnsi="Arial" w:eastAsia="Arial" w:cs="Arial"/>
                              <w:b/>
                              <w:bCs/>
                              <w:i/>
                              <w:i/>
                              <w:iCs/>
                            </w:rPr>
                          </w:pPr>
                          <w:r>
                            <w:rPr>
                              <w:rFonts w:eastAsia="Arial" w:cs="Arial" w:ascii="Arial" w:hAnsi="Arial"/>
                              <w:b/>
                              <w:bCs/>
                              <w:i/>
                              <w:iCs/>
                            </w:rPr>
                          </w:r>
                        </w:p>
                      </w:txbxContent>
                    </wps:txbx>
                    <wps:bodyPr anchor="t" lIns="0" tIns="0" rIns="0" bIns="0">
                      <a:noAutofit/>
                    </wps:bodyPr>
                  </wps:wsp>
                </a:graphicData>
              </a:graphic>
            </wp:anchor>
          </w:drawing>
        </mc:Choice>
        <mc:Fallback>
          <w:pict>
            <v:rect style="position:absolute;rotation:-0;width:457.2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end"/>
                      <w:rPr>
                        <w:rFonts w:ascii="Arial" w:hAnsi="Arial" w:eastAsia="Arial" w:cs="Arial"/>
                        <w:b/>
                        <w:bCs/>
                        <w:i/>
                        <w:i/>
                        <w:iCs/>
                      </w:rPr>
                    </w:pPr>
                    <w:r>
                      <w:rPr>
                        <w:rFonts w:eastAsia="Arial" w:cs="Arial" w:ascii="Arial" w:hAnsi="Arial"/>
                        <w:b/>
                        <w:bCs/>
                        <w:i/>
                        <w:iCs/>
                      </w:rPr>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245225" cy="14605"/>
              <wp:effectExtent l="0" t="0" r="0" b="0"/>
              <wp:wrapNone/>
              <wp:docPr id="5" name="Frame6"/>
              <a:graphic xmlns:a="http://schemas.openxmlformats.org/drawingml/2006/main">
                <a:graphicData uri="http://schemas.microsoft.com/office/word/2010/wordprocessingShape">
                  <wps:wsp>
                    <wps:cNvSpPr txBox="1"/>
                    <wps:spPr>
                      <a:xfrm>
                        <a:off x="0" y="0"/>
                        <a:ext cx="6245225" cy="14605"/>
                      </a:xfrm>
                      <a:prstGeom prst="rect"/>
                      <a:solidFill>
                        <a:srgbClr val="FFFFFF"/>
                      </a:solidFill>
                    </wps:spPr>
                    <wps:txbx>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wps:txbx>
                    <wps:bodyPr anchor="t" lIns="0" tIns="0" rIns="0" bIns="0">
                      <a:noAutofit/>
                    </wps:bodyPr>
                  </wps:wsp>
                </a:graphicData>
              </a:graphic>
            </wp:anchor>
          </w:drawing>
        </mc:Choice>
        <mc:Fallback>
          <w:pict>
            <v:rect style="position:absolute;rotation:-0;width:491.75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245225" cy="152400"/>
              <wp:effectExtent l="0" t="0" r="0" b="0"/>
              <wp:wrapNone/>
              <wp:docPr id="6" name="Frame5"/>
              <a:graphic xmlns:a="http://schemas.openxmlformats.org/drawingml/2006/main">
                <a:graphicData uri="http://schemas.microsoft.com/office/word/2010/wordprocessingShape">
                  <wps:wsp>
                    <wps:cNvSpPr txBox="1"/>
                    <wps:spPr>
                      <a:xfrm>
                        <a:off x="0" y="0"/>
                        <a:ext cx="6245225" cy="152400"/>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491.75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tabs>
        <w:tab w:val="clear" w:pos="720"/>
      </w:tabs>
      <w:spacing w:before="240" w:after="0"/>
      <w:ind w:hanging="720" w:start="1440" w:end="0"/>
      <w:outlineLvl w:val="0"/>
    </w:pPr>
    <w:rPr>
      <w:rFonts w:ascii="Arial" w:hAnsi="Arial" w:eastAsia="Arial" w:cs="Arial"/>
      <w:b/>
      <w:bCs/>
      <w:caps/>
    </w:rPr>
  </w:style>
  <w:style w:type="paragraph" w:styleId="Heading2">
    <w:name w:val="heading 2"/>
    <w:basedOn w:val="Heading1"/>
    <w:next w:val="BodyText"/>
    <w:qFormat/>
    <w:pPr>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caps/>
      <w:sz w:val="20"/>
      <w:szCs w:val="20"/>
      <w:u w:val="single"/>
      <w:vertAlign w:val="superscript"/>
    </w:rPr>
  </w:style>
  <w:style w:type="character" w:styleId="PageNumber">
    <w:name w:val="page number"/>
    <w:basedOn w:val="DefaultParagraphFont"/>
    <w:rPr>
      <w:sz w:val="20"/>
      <w:szCs w:val="20"/>
    </w:rPr>
  </w:style>
  <w:style w:type="character" w:styleId="AnnotationReference">
    <w:name w:val="Annotation Reference"/>
    <w:basedOn w:val="DefaultParagraphFont"/>
    <w:qFormat/>
    <w:rPr>
      <w:sz w:val="16"/>
      <w:szCs w:val="16"/>
    </w:rPr>
  </w:style>
  <w:style w:type="character" w:styleId="Hyperlink">
    <w:name w:val="Hyperlink"/>
    <w:basedOn w:val="DefaultParagraphFont"/>
    <w:qFormat/>
    <w:rPr>
      <w:color w:val="0000FF"/>
      <w:sz w:val="20"/>
      <w:szCs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Arial" w:hAnsi="Arial" w:eastAsia="Arial" w:cs="Arial"/>
    </w:rPr>
  </w:style>
  <w:style w:type="paragraph" w:styleId="Header">
    <w:name w:val="header"/>
    <w:basedOn w:val="Normal"/>
    <w:pPr>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val="false"/>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35" w:leader="dot"/>
      </w:tabs>
      <w:spacing w:before="0" w:after="120"/>
      <w:ind w:hanging="806" w:start="806" w:end="1440"/>
    </w:pPr>
    <w:rPr>
      <w:caps/>
    </w:rPr>
  </w:style>
  <w:style w:type="paragraph" w:styleId="TOC2">
    <w:name w:val="toc 2"/>
    <w:basedOn w:val="Normal"/>
    <w:pPr>
      <w:tabs>
        <w:tab w:val="clear" w:pos="720"/>
        <w:tab w:val="right" w:pos="9835" w:leader="dot"/>
      </w:tabs>
      <w:spacing w:before="0" w:after="120"/>
      <w:ind w:hanging="634" w:start="1440" w:end="1440"/>
    </w:pPr>
    <w:rPr/>
  </w:style>
  <w:style w:type="paragraph" w:styleId="TOC3">
    <w:name w:val="toc 3"/>
    <w:basedOn w:val="Normal"/>
    <w:pPr>
      <w:keepLines/>
      <w:tabs>
        <w:tab w:val="clear" w:pos="720"/>
        <w:tab w:val="right" w:pos="9835" w:leader="dot"/>
      </w:tabs>
      <w:spacing w:before="0" w:after="120"/>
      <w:ind w:hanging="720" w:start="2160" w:end="1440"/>
    </w:pPr>
    <w:rPr/>
  </w:style>
  <w:style w:type="paragraph" w:styleId="TOC4">
    <w:name w:val="toc 4"/>
    <w:basedOn w:val="Normal"/>
    <w:pPr>
      <w:keepLines/>
      <w:tabs>
        <w:tab w:val="clear" w:pos="720"/>
        <w:tab w:val="right" w:pos="9835" w:leader="dot"/>
      </w:tabs>
      <w:spacing w:before="0" w:after="120"/>
      <w:ind w:hanging="720" w:start="2880" w:end="1440"/>
    </w:pPr>
    <w:rPr/>
  </w:style>
  <w:style w:type="paragraph" w:styleId="TOC5">
    <w:name w:val="toc 5"/>
    <w:basedOn w:val="Normal"/>
    <w:pPr>
      <w:keepLines/>
      <w:tabs>
        <w:tab w:val="clear" w:pos="720"/>
        <w:tab w:val="right" w:pos="9835" w:leader="dot"/>
      </w:tabs>
      <w:spacing w:before="0" w:after="120"/>
      <w:ind w:hanging="720" w:start="3600" w:end="1440"/>
    </w:pPr>
    <w:rPr/>
  </w:style>
  <w:style w:type="paragraph" w:styleId="TOC6">
    <w:name w:val="toc 6"/>
    <w:basedOn w:val="Normal"/>
    <w:pPr>
      <w:keepLines/>
      <w:tabs>
        <w:tab w:val="clear" w:pos="720"/>
        <w:tab w:val="right" w:pos="9835" w:leader="dot"/>
      </w:tabs>
      <w:spacing w:before="0" w:after="120"/>
      <w:ind w:hanging="720" w:start="4320" w:end="1440"/>
    </w:pPr>
    <w:rPr/>
  </w:style>
  <w:style w:type="paragraph" w:styleId="TOC7">
    <w:name w:val="toc 7"/>
    <w:basedOn w:val="Normal"/>
    <w:pPr>
      <w:keepLines/>
      <w:tabs>
        <w:tab w:val="clear" w:pos="720"/>
        <w:tab w:val="right" w:pos="9835" w:leader="dot"/>
      </w:tabs>
      <w:spacing w:before="0" w:after="120"/>
      <w:ind w:hanging="806" w:start="5126" w:end="1440"/>
    </w:pPr>
    <w:rPr/>
  </w:style>
  <w:style w:type="paragraph" w:styleId="TOC8">
    <w:name w:val="toc 8"/>
    <w:basedOn w:val="Normal"/>
    <w:pPr>
      <w:keepLines/>
      <w:tabs>
        <w:tab w:val="clear" w:pos="720"/>
        <w:tab w:val="right" w:pos="9835" w:leader="dot"/>
      </w:tabs>
      <w:spacing w:before="0" w:after="120"/>
      <w:ind w:hanging="634" w:start="5760" w:end="1440"/>
    </w:pPr>
    <w:rPr/>
  </w:style>
  <w:style w:type="paragraph" w:styleId="TOC9">
    <w:name w:val="toc 9"/>
    <w:basedOn w:val="Normal"/>
    <w:pPr>
      <w:keepLines/>
      <w:tabs>
        <w:tab w:val="clear" w:pos="720"/>
        <w:tab w:val="right" w:pos="9835"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AnnotationText">
    <w:name w:val="Annotation Text"/>
    <w:basedOn w:val="Normal"/>
    <w:qFormat/>
    <w:pPr/>
    <w:rPr>
      <w:sz w:val="20"/>
      <w:szCs w:val="20"/>
    </w:rPr>
  </w:style>
  <w:style w:type="paragraph" w:styleId="DocumentMap">
    <w:name w:val="Document Map"/>
    <w:basedOn w:val="Normal"/>
    <w:qFormat/>
    <w:pPr>
      <w:shd w:fill="000080" w:val="clear"/>
    </w:pPr>
    <w:rPr>
      <w:rFonts w:ascii="Tahoma" w:hAnsi="Tahoma" w:eastAsia="Tahoma" w:cs="Tahoma"/>
    </w:rPr>
  </w:style>
  <w:style w:type="paragraph" w:styleId="WW-BodyText2">
    <w:name w:val="WW-Body Text 2"/>
    <w:basedOn w:val="Normal"/>
    <w:qFormat/>
    <w:pPr>
      <w:jc w:val="center"/>
    </w:pPr>
    <w:rPr>
      <w:rFonts w:ascii="Arial" w:hAnsi="Arial" w:eastAsia="Arial" w:cs="Arial"/>
      <w:b/>
      <w:bCs/>
    </w:rPr>
  </w:style>
  <w:style w:type="paragraph" w:styleId="Body0">
    <w:name w:val="Body 0"/>
    <w:basedOn w:val="Normal"/>
    <w:qFormat/>
    <w:pPr>
      <w:spacing w:lineRule="exact" w:line="400"/>
      <w:ind w:firstLine="432" w:start="0" w:end="0"/>
    </w:pPr>
    <w:rPr>
      <w:rFonts w:ascii="Arial" w:hAnsi="Arial" w:eastAsia="Arial" w:cs="Arial"/>
      <w:color w:val="000000"/>
    </w:rPr>
  </w:style>
  <w:style w:type="paragraph" w:styleId="DoubleSpace">
    <w:name w:val="Double Space"/>
    <w:basedOn w:val="Normal"/>
    <w:qFormat/>
    <w:pPr>
      <w:spacing w:lineRule="auto" w:line="480"/>
    </w:pPr>
    <w:rPr>
      <w:sz w:val="26"/>
      <w:szCs w:val="26"/>
    </w:rPr>
  </w:style>
  <w:style w:type="paragraph" w:styleId="DoubleIndent">
    <w:name w:val="Double Indent"/>
    <w:basedOn w:val="Normal"/>
    <w:qFormat/>
    <w:pPr>
      <w:spacing w:lineRule="auto" w:line="240" w:before="0" w:after="240"/>
      <w:ind w:hanging="0" w:start="1440" w:end="1440"/>
    </w:pPr>
    <w:rPr>
      <w:sz w:val="26"/>
      <w:szCs w:val="26"/>
    </w:rPr>
  </w:style>
  <w:style w:type="paragraph" w:styleId="ListNumber">
    <w:name w:val="List Number"/>
    <w:basedOn w:val="Normal"/>
    <w:qFormat/>
    <w:pPr>
      <w:numPr>
        <w:ilvl w:val="0"/>
        <w:numId w:val="2"/>
      </w:numPr>
      <w:ind w:hanging="360" w:start="360" w:end="0"/>
    </w:pPr>
    <w:rPr/>
  </w:style>
  <w:style w:type="paragraph" w:styleId="listnumber2">
    <w:name w:val="list number 2"/>
    <w:basedOn w:val="ListNumber"/>
    <w:qFormat/>
    <w:pPr>
      <w:bidi w:val="0"/>
      <w:spacing w:lineRule="auto" w:line="240" w:before="0" w:after="240"/>
      <w:ind w:hanging="720" w:start="1440" w:end="0"/>
    </w:pPr>
    <w:rPr>
      <w:sz w:val="26"/>
      <w:szCs w:val="26"/>
    </w:rPr>
  </w:style>
  <w:style w:type="paragraph" w:styleId="QAquote">
    <w:name w:val="Q&amp;Aquote"/>
    <w:basedOn w:val="Normal"/>
    <w:qFormat/>
    <w:pPr>
      <w:widowControl/>
      <w:spacing w:lineRule="auto" w:line="240"/>
      <w:ind w:hanging="0" w:start="720" w:end="720"/>
    </w:pPr>
    <w:rPr>
      <w:rFonts w:ascii="Arial" w:hAnsi="Arial" w:eastAsia="Arial" w:cs="Arial"/>
    </w:rPr>
  </w:style>
  <w:style w:type="paragraph" w:styleId="NumberedList1">
    <w:name w:val="Numbered List 1"/>
    <w:basedOn w:val="BodyText"/>
    <w:qFormat/>
    <w:pPr>
      <w:widowControl/>
      <w:spacing w:lineRule="exact" w:line="400" w:before="0" w:after="120"/>
      <w:ind w:hanging="432" w:start="1296" w:end="0"/>
    </w:pPr>
    <w:rPr>
      <w:rFonts w:ascii="Arial" w:hAnsi="Arial" w:eastAsia="Arial" w:cs="Arial"/>
    </w:rPr>
  </w:style>
  <w:style w:type="paragraph" w:styleId="Quote-5inch">
    <w:name w:val="Quote - .5 inch"/>
    <w:basedOn w:val="Normal"/>
    <w:next w:val="Normal"/>
    <w:qFormat/>
    <w:pPr>
      <w:spacing w:lineRule="auto" w:line="240" w:before="240" w:after="0"/>
      <w:ind w:hanging="0" w:start="720" w:end="720"/>
    </w:pPr>
    <w:rPr>
      <w:rFonts w:ascii="Arial" w:hAnsi="Arial" w:eastAsia="Arial" w:cs="Arial"/>
    </w:rPr>
  </w:style>
  <w:style w:type="paragraph" w:styleId="Bullet2">
    <w:name w:val="Bullet 2"/>
    <w:basedOn w:val="Normal"/>
    <w:qFormat/>
    <w:pPr>
      <w:widowControl/>
      <w:numPr>
        <w:ilvl w:val="0"/>
        <w:numId w:val="3"/>
      </w:numPr>
      <w:spacing w:lineRule="exact" w:line="400" w:before="0" w:after="120"/>
      <w:ind w:hanging="432" w:start="1296" w:end="0"/>
    </w:pPr>
    <w:rPr>
      <w:rFonts w:ascii="Arial" w:hAnsi="Arial" w:eastAsia="Arial" w:cs="Arial"/>
      <w:color w:val="000000"/>
    </w:rPr>
  </w:style>
  <w:style w:type="paragraph" w:styleId="TableCaption">
    <w:name w:val="Table Caption"/>
    <w:basedOn w:val="Normal"/>
    <w:qFormat/>
    <w:pPr>
      <w:keepNext w:val="true"/>
      <w:keepLines/>
      <w:widowControl/>
      <w:spacing w:lineRule="atLeast" w:line="240" w:before="440" w:after="220"/>
      <w:jc w:val="center"/>
    </w:pPr>
    <w:rPr>
      <w:rFonts w:ascii="Arial" w:hAnsi="Arial" w:eastAsia="Arial" w:cs="Arial"/>
      <w:b/>
      <w:bCs/>
      <w:caps/>
      <w:sz w:val="20"/>
      <w:szCs w:val="20"/>
    </w:rPr>
  </w:style>
  <w:style w:type="paragraph" w:styleId="Table">
    <w:name w:val="Table"/>
    <w:basedOn w:val="Normal"/>
    <w:qFormat/>
    <w:pPr>
      <w:keepNext w:val="true"/>
      <w:keepLines/>
      <w:widowControl/>
      <w:spacing w:lineRule="auto" w:line="240"/>
    </w:pPr>
    <w:rPr>
      <w:rFonts w:ascii="Arial" w:hAnsi="Arial" w:eastAsia="Arial" w:cs="Arial"/>
      <w:sz w:val="20"/>
      <w:szCs w:val="20"/>
    </w:rPr>
  </w:style>
  <w:style w:type="paragraph" w:styleId="Table-FirstRow">
    <w:name w:val="Table - First Row"/>
    <w:basedOn w:val="Table"/>
    <w:qFormat/>
    <w:pPr>
      <w:spacing w:before="120" w:after="0"/>
    </w:pPr>
    <w:rPr/>
  </w:style>
  <w:style w:type="paragraph" w:styleId="Body1">
    <w:name w:val="Body 1"/>
    <w:basedOn w:val="Normal"/>
    <w:qFormat/>
    <w:pPr>
      <w:widowControl/>
      <w:spacing w:lineRule="exact" w:line="400"/>
      <w:ind w:firstLine="432" w:start="432" w:end="0"/>
    </w:pPr>
    <w:rPr>
      <w:rFonts w:ascii="Arial" w:hAnsi="Arial" w:eastAsia="Arial" w:cs="Arial"/>
      <w:color w:val="000000"/>
    </w:rPr>
  </w:style>
  <w:style w:type="paragraph" w:styleId="BodyText3">
    <w:name w:val="Body Text 3"/>
    <w:basedOn w:val="Normal"/>
    <w:qFormat/>
    <w:pPr>
      <w:widowControl/>
      <w:jc w:val="center"/>
    </w:pPr>
    <w:rPr>
      <w:rFonts w:ascii="Arial" w:hAnsi="Arial" w:eastAsia="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2000-11-22T19:03:00Z</dcterms:created>
  <dc:creator>Pam Dawson</dc:creator>
  <dc:description/>
  <dc:language>en-CA</dc:language>
  <cp:lastModifiedBy>Janice Frazier-Hampton</cp:lastModifiedBy>
  <cp:lastPrinted>2000-11-22T10:14:00Z</cp:lastPrinted>
  <dcterms:modified xsi:type="dcterms:W3CDTF">2000-11-22T19:03:00Z</dcterms:modified>
  <cp:revision>2</cp:revision>
  <dc:subject/>
  <dc:title>PG&amp;E CPUC Pleading Template, rev. 8/1/96, The Legal MacPac</dc:title>
</cp:coreProperties>
</file>