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jc w:val="center"/>
        <w:rPr/>
      </w:pPr>
      <w:r>
        <w:rPr/>
        <w:t>Probability for RPS Legislation in States where EES is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Considering Physical Delivery</w:t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rPr/>
      </w:pPr>
      <w:r>
        <w:rPr/>
      </w:r>
    </w:p>
    <w:tbl>
      <w:tblPr>
        <w:tblW w:w="10980" w:type="dxa"/>
        <w:jc w:val="start"/>
        <w:tblInd w:w="-9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1441"/>
        <w:gridCol w:w="3959"/>
        <w:gridCol w:w="4140"/>
      </w:tblGrid>
      <w:tr>
        <w:trPr>
          <w:trHeight w:val="962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Probability</w:t>
            </w:r>
          </w:p>
        </w:tc>
        <w:tc>
          <w:tcPr>
            <w:tcW w:w="3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Background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Other Applicable 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CCFF" w:val="clear"/>
          </w:tcPr>
          <w:p>
            <w:pPr>
              <w:pStyle w:val="Heading1"/>
              <w:ind w:hanging="0" w:start="0"/>
              <w:rPr/>
            </w:pPr>
            <w:r>
              <w:rPr/>
              <w:t>Ohio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Low</w:t>
            </w:r>
          </w:p>
        </w:tc>
        <w:tc>
          <w:tcPr>
            <w:tcW w:w="3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Huge Coal State. Would likely be cost prohibitive, and discourage competitive suppliers from competiting in OH’s market.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NREL issued an RFP for green tags for one of their labs in OH.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CCFF" w:val="clear"/>
          </w:tcPr>
          <w:p>
            <w:pPr>
              <w:pStyle w:val="Normal"/>
              <w:rPr>
                <w:rFonts w:ascii="Times" w:hAnsi="Times" w:cs="Times"/>
                <w:b/>
                <w:bCs/>
              </w:rPr>
            </w:pPr>
            <w:r>
              <w:rPr>
                <w:rFonts w:cs="Arial" w:ascii="Times" w:hAnsi="Times"/>
                <w:b/>
                <w:bCs/>
                <w:szCs w:val="20"/>
              </w:rPr>
              <w:t>Rhode Island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Low</w:t>
            </w:r>
          </w:p>
        </w:tc>
        <w:tc>
          <w:tcPr>
            <w:tcW w:w="3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Competition has not been huge in this state.  The state passed a green fund, which gives a rebate to competitive suppliers for purchasing green.  It’s very similar to CA’s customer credit program.  RI’s approach is encouraging competitive purchases by bringing down the premium versus mandates.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 has a systems benefit fund for renewable development.  RI is currently offering rebates for customers signing up for green.  M</w:t>
            </w:r>
            <w:r>
              <w:rPr>
                <w:rFonts w:cs="Tahoma"/>
                <w:szCs w:val="20"/>
              </w:rPr>
              <w:t>arketers will be eligible to receive up to $250 for each of the first 1,000 businesses and $125 for each business thereafter. Funds will be available on a first-come basis. The fund has $350,000 available to support the development of sustainable demand for green power among large and small customers in the state.</w:t>
            </w:r>
            <w:r>
              <w:rPr>
                <w:rFonts w:cs="Tahoma" w:ascii="Tahoma" w:hAnsi="Tahoma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CCFF" w:val="clear"/>
          </w:tcPr>
          <w:p>
            <w:pPr>
              <w:pStyle w:val="Normal"/>
              <w:rPr>
                <w:rFonts w:ascii="Times" w:hAnsi="Times" w:cs="Times"/>
                <w:b/>
                <w:bCs/>
              </w:rPr>
            </w:pPr>
            <w:r>
              <w:rPr>
                <w:rFonts w:cs="Times" w:ascii="Times" w:hAnsi="Times"/>
                <w:b/>
                <w:bCs/>
              </w:rPr>
              <w:t>Maryland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Low</w:t>
            </w:r>
          </w:p>
        </w:tc>
        <w:tc>
          <w:tcPr>
            <w:tcW w:w="3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BGE/Constellation and industry groups have fought successfully against an RPS.  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MD has a 6% renewable purchase requirement for gov’t facilities. 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CCFF" w:val="clear"/>
          </w:tcPr>
          <w:p>
            <w:pPr>
              <w:pStyle w:val="Normal"/>
              <w:rPr>
                <w:rFonts w:ascii="Times" w:hAnsi="Times" w:cs="Times"/>
                <w:b/>
                <w:bCs/>
              </w:rPr>
            </w:pPr>
            <w:r>
              <w:rPr>
                <w:rFonts w:cs="Times" w:ascii="Times" w:hAnsi="Times"/>
                <w:b/>
                <w:bCs/>
              </w:rPr>
              <w:t>New Hampshire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Likely</w:t>
            </w:r>
          </w:p>
        </w:tc>
        <w:tc>
          <w:tcPr>
            <w:tcW w:w="3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Given that NePool is instituting a credit trading program for RECs (and all fossil generation) and NH is surrounded by 3 states with an RPS, it’s likely that New Hampshire will pass an RPS.  Otherwise, it’s likely that all of the “dirty” power will be filtered through NH, VT and RI – the states in NePool without an RPS.  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CCFF" w:val="clear"/>
          </w:tcPr>
          <w:p>
            <w:pPr>
              <w:pStyle w:val="Normal"/>
              <w:rPr>
                <w:rFonts w:ascii="Times" w:hAnsi="Times" w:cs="Times"/>
                <w:b/>
                <w:bCs/>
              </w:rPr>
            </w:pPr>
            <w:r>
              <w:rPr>
                <w:rFonts w:cs="Times" w:ascii="Times" w:hAnsi="Times"/>
                <w:b/>
                <w:bCs/>
              </w:rPr>
              <w:t>New York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Low</w:t>
            </w:r>
          </w:p>
        </w:tc>
        <w:tc>
          <w:tcPr>
            <w:tcW w:w="3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New York has one of the largest funds for renewable power development.  The fund approach has been favored in NY vs. a renewable requirement.  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Gov’t Order for 10% renewable purchases by 2005 and 20% by 2010.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CCFF" w:val="clear"/>
          </w:tcPr>
          <w:p>
            <w:pPr>
              <w:pStyle w:val="Normal"/>
              <w:rPr>
                <w:rFonts w:ascii="Times" w:hAnsi="Times" w:cs="Times"/>
                <w:b/>
                <w:bCs/>
              </w:rPr>
            </w:pPr>
            <w:r>
              <w:rPr>
                <w:rFonts w:cs="Times" w:ascii="Times" w:hAnsi="Times"/>
                <w:b/>
                <w:bCs/>
              </w:rPr>
              <w:t>Illinois</w:t>
            </w:r>
          </w:p>
        </w:tc>
        <w:tc>
          <w:tcPr>
            <w:tcW w:w="1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Low</w:t>
            </w:r>
          </w:p>
        </w:tc>
        <w:tc>
          <w:tcPr>
            <w:tcW w:w="3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City of Chicago RFP for green for 20% of purchases.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bCs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2001-10-28T13:53:00Z</dcterms:created>
  <dc:creator>sbolton</dc:creator>
  <dc:description/>
  <dc:language>en-CA</dc:language>
  <cp:lastModifiedBy>sbolton</cp:lastModifiedBy>
  <dcterms:modified xsi:type="dcterms:W3CDTF">2001-10-28T15:37:00Z</dcterms:modified>
  <cp:revision>8</cp:revision>
  <dc:subject/>
  <dc:title>RPS Probability:</dc:title>
</cp:coreProperties>
</file>