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Energy Industry Colleague,</w:t>
      </w:r>
    </w:p>
    <w:p>
      <w:pPr>
        <w:pStyle w:val="Normal"/>
        <w:rPr/>
      </w:pPr>
      <w:r>
        <w:rPr/>
      </w:r>
    </w:p>
    <w:p>
      <w:pPr>
        <w:pStyle w:val="Normal"/>
        <w:rPr/>
      </w:pPr>
      <w:r>
        <w:rPr/>
        <w:t>I am writing to introduce a new group here at Enron, the Renewable Power Desk. Given the heightened level of interest in energy and the environment, we have decided to apply our marketing and trading expertise to the renewable power sector, from the trading and marketing of Renewable Energy Credits (RECs) to Schedule Coordination and dispatch services for renewable generators. Personally, I think the opportunities for green power in the United States have never been better. From the recent announcements of major wind projects across the country to the development of Renewable Portfolio Standards and major buying commitments by large commercial and industrial customers, the renewable energy market is growing rapidly. Enron is now committed to becoming an active player in this exciting and important sector.</w:t>
      </w:r>
    </w:p>
    <w:p>
      <w:pPr>
        <w:pStyle w:val="Normal"/>
        <w:rPr/>
      </w:pPr>
      <w:r>
        <w:rPr/>
      </w:r>
    </w:p>
    <w:p>
      <w:pPr>
        <w:pStyle w:val="Normal"/>
        <w:rPr/>
      </w:pPr>
      <w:r>
        <w:rPr>
          <w:b/>
          <w:bCs/>
          <w:i/>
          <w:iCs/>
        </w:rPr>
        <w:t>If you are a renewable power developer</w:t>
      </w:r>
      <w:r>
        <w:rPr/>
        <w:t>, we are interested in helping you market your power and Renewable Energy Credits. Enron trades and markets power in all the major regions of the United States and we are in touch with all of the major wholesale players in those markets. We can provide Schedule Coordination, dispatch and settlements for new generation in markets across the country, taking back-office responsibilities off your hands. With regards to Renewable Energy Credits, we are beginning to sell green power to our large commercial and industrial customers and will also be looking to source competitively priced RECs from new biomass, wind, geothermal and solar development projects.</w:t>
      </w:r>
    </w:p>
    <w:p>
      <w:pPr>
        <w:pStyle w:val="Normal"/>
        <w:rPr/>
      </w:pPr>
      <w:r>
        <w:rPr/>
      </w:r>
    </w:p>
    <w:p>
      <w:pPr>
        <w:pStyle w:val="Normal"/>
        <w:rPr/>
      </w:pPr>
      <w:r>
        <w:rPr>
          <w:b/>
          <w:bCs/>
          <w:i/>
          <w:iCs/>
        </w:rPr>
        <w:t>If you are a green power marketer</w:t>
      </w:r>
      <w:r>
        <w:rPr/>
        <w:t xml:space="preserve">, we can help you source RECs and fixed-price power in a variety of deregulated markets across the country. We are particularly interested in providing competitively-priced green power to municipal aggregators through our retail arm, Enron Energy Services (EES). The Renewable Power Desk can provide you with a single point of contact to the different power groups within EES.  </w:t>
      </w:r>
    </w:p>
    <w:p>
      <w:pPr>
        <w:pStyle w:val="Normal"/>
        <w:rPr/>
      </w:pPr>
      <w:r>
        <w:rPr/>
      </w:r>
    </w:p>
    <w:p>
      <w:pPr>
        <w:pStyle w:val="Normal"/>
        <w:rPr/>
      </w:pPr>
      <w:r>
        <w:rPr>
          <w:b/>
          <w:bCs/>
          <w:i/>
          <w:iCs/>
        </w:rPr>
        <w:t>If you represent an investor-owned utility</w:t>
      </w:r>
      <w:r>
        <w:rPr/>
        <w:t xml:space="preserve"> with a green buying mandate or have an interest in diversifying your portfolio, we have relationships with a number of wind energy developers across the country, including our own wind energy subsidiary, Enron Wind. We can provide a range of power marketing and consulting services to help you source, manage and hedge a long-term purchase obligation from a new wind or biomass project. And, if you have a flexible system and are interested in reducing your price exposure, we can help you market the environmental attributes (RECs) from the projects through our relationships with large commercial and industrial customers across the country. Increasingly, I believe utilities can help grow the green power market and diversify their portfolios by purchasing renewable energy at the wholesale level and working with power marketers to sell the environmental attributes to customers. Of course, you may also be starting a green pricing program and might want to take title to the green attributes to meet your customers’ needs.</w:t>
      </w:r>
    </w:p>
    <w:p>
      <w:pPr>
        <w:pStyle w:val="Normal"/>
        <w:rPr/>
      </w:pPr>
      <w:r>
        <w:rPr/>
      </w:r>
    </w:p>
    <w:p>
      <w:pPr>
        <w:pStyle w:val="Normal"/>
        <w:rPr/>
      </w:pPr>
      <w:r>
        <w:rPr>
          <w:b/>
          <w:bCs/>
        </w:rPr>
        <w:t>If you are a policy specialist  or academic,</w:t>
      </w:r>
      <w:r>
        <w:rPr/>
        <w:t xml:space="preserve"> we want to collaborate with you to ensure the development of enlightened renewable energy policy and market structures across the country. Issues of particular importance to us are Renewable Portfolio Standards, RTO rulemaking procedures and intermittency management tariffs. </w:t>
      </w:r>
    </w:p>
    <w:p>
      <w:pPr>
        <w:pStyle w:val="Normal"/>
        <w:rPr/>
      </w:pPr>
      <w:r>
        <w:rPr/>
      </w:r>
    </w:p>
    <w:p>
      <w:pPr>
        <w:pStyle w:val="Normal"/>
        <w:rPr/>
      </w:pPr>
      <w:r>
        <w:rPr/>
        <w:t>I look forward to having a chance to speak with you, learning about your activities, and determining if the Renewable Power Desk can be of service in your efforts. Please feel free to contact me directly with any questions or suggestions for potential transactions.</w:t>
      </w:r>
    </w:p>
    <w:p>
      <w:pPr>
        <w:pStyle w:val="Normal"/>
        <w:rPr/>
      </w:pPr>
      <w:r>
        <w:rPr/>
      </w:r>
    </w:p>
    <w:p>
      <w:pPr>
        <w:pStyle w:val="Normal"/>
        <w:rPr/>
      </w:pPr>
      <w:r>
        <w:rPr/>
      </w:r>
    </w:p>
    <w:p>
      <w:pPr>
        <w:pStyle w:val="Normal"/>
        <w:rPr/>
      </w:pPr>
      <w:r>
        <w:rPr/>
        <w:t>With best wishes,</w:t>
      </w:r>
    </w:p>
    <w:p>
      <w:pPr>
        <w:pStyle w:val="Normal"/>
        <w:rPr/>
      </w:pPr>
      <w:r>
        <w:rPr/>
      </w:r>
    </w:p>
    <w:p>
      <w:pPr>
        <w:pStyle w:val="Normal"/>
        <w:rPr/>
      </w:pPr>
      <w:r>
        <w:rPr/>
      </w:r>
    </w:p>
    <w:p>
      <w:pPr>
        <w:pStyle w:val="Normal"/>
        <w:rPr/>
      </w:pPr>
      <w:r>
        <w:rPr/>
        <w:t>Elliot Mainzer</w:t>
      </w:r>
    </w:p>
    <w:p>
      <w:pPr>
        <w:pStyle w:val="Normal"/>
        <w:rPr/>
      </w:pPr>
      <w:r>
        <w:rPr/>
        <w:t>Manager</w:t>
      </w:r>
    </w:p>
    <w:p>
      <w:pPr>
        <w:pStyle w:val="Normal"/>
        <w:rPr/>
      </w:pPr>
      <w:r>
        <w:rPr/>
        <w:t>Renewable Power Desk</w:t>
      </w:r>
    </w:p>
    <w:p>
      <w:pPr>
        <w:pStyle w:val="Normal"/>
        <w:rPr/>
      </w:pPr>
      <w:r>
        <w:rPr/>
        <w:t>Enron Wholesale Services</w:t>
      </w:r>
    </w:p>
    <w:p>
      <w:pPr>
        <w:pStyle w:val="Normal"/>
        <w:rPr/>
      </w:pPr>
      <w:r>
        <w:rPr/>
        <w:t>121 SW Salmon ST.</w:t>
      </w:r>
    </w:p>
    <w:p>
      <w:pPr>
        <w:pStyle w:val="Normal"/>
        <w:rPr/>
      </w:pPr>
      <w:r>
        <w:rPr/>
        <w:t>3WTC-0306</w:t>
      </w:r>
    </w:p>
    <w:p>
      <w:pPr>
        <w:pStyle w:val="Normal"/>
        <w:rPr/>
      </w:pPr>
      <w:r>
        <w:rPr/>
        <w:t>Portland, OR  97201</w:t>
      </w:r>
    </w:p>
    <w:p>
      <w:pPr>
        <w:pStyle w:val="Normal"/>
        <w:rPr/>
      </w:pPr>
      <w:r>
        <w:rPr/>
        <w:t>(503) 464-3706</w:t>
      </w:r>
    </w:p>
    <w:p>
      <w:pPr>
        <w:pStyle w:val="Normal"/>
        <w:rPr/>
      </w:pPr>
      <w:r>
        <w:rPr/>
        <w:t>(503) 464-3740 (FX)</w:t>
      </w:r>
    </w:p>
    <w:p>
      <w:pPr>
        <w:pStyle w:val="Normal"/>
        <w:rPr/>
      </w:pPr>
      <w:r>
        <w:rPr/>
        <w:t>(503) 709-6959 (CL)</w:t>
      </w:r>
    </w:p>
    <w:p>
      <w:pPr>
        <w:pStyle w:val="Normal"/>
        <w:rPr/>
      </w:pPr>
      <w:hyperlink r:id="rId2">
        <w:r>
          <w:rPr>
            <w:rStyle w:val="Hyperlink"/>
          </w:rPr>
          <w:t>elliot.mainzer@enron.com</w:t>
        </w:r>
      </w:hyperlink>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liot.mainzer@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2001-10-03T15:25:00Z</dcterms:created>
  <dc:creator>emainze</dc:creator>
  <dc:description/>
  <dc:language>en-CA</dc:language>
  <cp:lastModifiedBy>emainze</cp:lastModifiedBy>
  <dcterms:modified xsi:type="dcterms:W3CDTF">2001-10-03T17:42:00Z</dcterms:modified>
  <cp:revision>2</cp:revision>
  <dc:subject/>
  <dc:title>Dear Energy Industry Colleague,</dc:title>
</cp:coreProperties>
</file>