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Nos.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 xml:space="preserve">Transwestern Pipeline Company (“Transwestern”), pursuant to Rule 213 of the Commission’s Rules of Practice and Procedure, hereby files its answer to the protest (“Protest”) filed on </w:t>
      </w:r>
      <w:ins w:id="0" w:author="mpavlou" w:date="2001-11-19T10:28:00Z">
        <w:r>
          <w:rPr/>
          <w:t>November 13,</w:t>
        </w:r>
      </w:ins>
      <w:del w:id="1" w:author="mpavlou" w:date="2001-11-19T10:28:00Z">
        <w:r>
          <w:rPr/>
          <w:delText>March 22,</w:delText>
        </w:r>
      </w:del>
      <w:r>
        <w:rPr/>
        <w:t xml:space="preserve">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xml:space="preserve">. The revised tariff sheets reflect an amendment to an existing transportation agreement between Transwestern and USGT. This amendment extends the original term of the existing transportation agreement until March 31, 2003, adds additional delivery points, sets forth revised rates for service to USGT’s primary delivery points, and establishes a negotiated rate for service to the alternate delivery points specified in the amendment. On November 13, 2001, the CPUC filed </w:t>
      </w:r>
      <w:ins w:id="2" w:author="mpavlou" w:date="2001-11-19T10:29:00Z">
        <w:r>
          <w:rPr/>
          <w:t>a</w:t>
        </w:r>
      </w:ins>
      <w:del w:id="3" w:author="mpavlou" w:date="2001-11-19T10:29:00Z">
        <w:r>
          <w:rPr/>
          <w:delText>the</w:delText>
        </w:r>
      </w:del>
      <w:r>
        <w:rPr/>
        <w:t xml:space="preserv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 based rates for a significant part of its capacity. As demonstrated below, there is no legal, policy or factual basis for the Commission to grant the CPUC’s request for an investigation. Further, the Commission should reject the Protest as an inappropriate challenge </w:t>
      </w:r>
      <w:ins w:id="4" w:author="mpavlou" w:date="2001-11-19T10:30:00Z">
        <w:r>
          <w:rPr/>
          <w:t>to</w:t>
        </w:r>
      </w:ins>
      <w:del w:id="5" w:author="mpavlou" w:date="2001-11-19T10:30:00Z">
        <w:r>
          <w:rPr/>
          <w:delText>of</w:delText>
        </w:r>
      </w:del>
      <w:r>
        <w:rPr/>
        <w:t xml:space="preserve">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 xml:space="preserve">without offering a recourse rate as </w:t>
      </w:r>
      <w:ins w:id="6" w:author="mpavlou" w:date="2001-11-19T10:30:00Z">
        <w:r>
          <w:rPr>
            <w:u w:val="single"/>
          </w:rPr>
          <w:t xml:space="preserve">a </w:t>
        </w:r>
      </w:ins>
      <w:r>
        <w:rPr>
          <w:u w:val="single"/>
        </w:rPr>
        <w:t>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r>
    </w:p>
    <w:p>
      <w:pPr>
        <w:pStyle w:val="Normal"/>
        <w:spacing w:lineRule="auto" w:line="480"/>
        <w:jc w:val="both"/>
        <w:rPr/>
      </w:pPr>
      <w:r>
        <w:rPr/>
        <w:tab/>
        <w:t>In this case, recourse rates were available to USGT and to all other potential shippers on Transwestern’s system.  Transwestern offered the capacity at issue on its web site at the recourse rate for a period of __ days in accordance with Transwestern’s tariff and Commission policy.</w:t>
      </w:r>
      <w:ins w:id="7" w:author="mpavlou" w:date="2001-11-19T10:35:00Z">
        <w:r>
          <w:rPr/>
          <w:t xml:space="preserve"> [?] If this is true (p.s. verify with the commercial </w:t>
        </w:r>
      </w:ins>
      <w:ins w:id="8" w:author="mpavlou" w:date="2001-11-19T11:06:00Z">
        <w:r>
          <w:rPr/>
          <w:t xml:space="preserve">and regulatory </w:t>
        </w:r>
      </w:ins>
      <w:ins w:id="9" w:author="mpavlou" w:date="2001-11-19T10:35:00Z">
        <w:r>
          <w:rPr/>
          <w:t xml:space="preserve">people) and we did post, the tariff does not currently provide posting periods except for ROFR capacity. </w:t>
        </w:r>
      </w:ins>
      <w:ins w:id="10" w:author="mpavlou" w:date="2001-11-19T11:06:00Z">
        <w:r>
          <w:rPr/>
          <w:t xml:space="preserve"> </w:t>
        </w:r>
      </w:ins>
      <w:ins w:id="11" w:author="mpavlou" w:date="2001-11-19T10:35:00Z">
        <w:r>
          <w:rPr/>
          <w:t xml:space="preserve"> </w:t>
        </w:r>
      </w:ins>
      <w:r>
        <w:rPr/>
        <w:t xml:space="preserve">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negotiated the rates described in Transwestern’s filing in this proceeding.  </w:t>
      </w:r>
    </w:p>
    <w:p>
      <w:pPr>
        <w:pStyle w:val="Normal"/>
        <w:spacing w:lineRule="auto" w:line="480"/>
        <w:jc w:val="both"/>
        <w:rPr/>
      </w:pPr>
      <w:r>
        <w:rPr/>
        <w:tab/>
        <w:t>In light of the facts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 based rate.</w:t>
      </w:r>
      <w:r>
        <w:rPr>
          <w:rStyle w:val="FootnoteCharacters"/>
          <w:rStyle w:val="FootnoteReference"/>
        </w:rPr>
        <w:footnoteReference w:id="8"/>
      </w:r>
      <w:r>
        <w:rPr/>
        <w:t xml:space="preserve">  As discussed above, however, this ignores the distinction that the Commission itself has made between negotiated and market based rates. The fact that a negotiated rate may fluctuate or at some point exceed the recourse rate does not make the negotiated rate a market based rate and is irrelevant. </w:t>
      </w:r>
    </w:p>
    <w:p>
      <w:pPr>
        <w:pStyle w:val="Normal"/>
        <w:jc w:val="both"/>
        <w:rPr/>
      </w:pPr>
      <w:r>
        <w:rPr/>
      </w:r>
    </w:p>
    <w:p>
      <w:pPr>
        <w:pStyle w:val="BodyText3"/>
        <w:spacing w:lineRule="auto" w:line="480"/>
        <w:rPr/>
      </w:pPr>
      <w:r>
        <w:rPr/>
        <w:tab/>
        <w:t xml:space="preserve">The Commission’s negotiated rate policy expressly provides for the freedom for the pipeline and the shipper to negotiate rates that differ from the pipeline’s recourse rates. Negotiated rates may be higher than the maximum tariff rates, lower than the maximum tariff rates, and designed without any regard to costs. The existence of the recourse rate, in and of itself, is the shipper’s protection from the potential exercise of market power by the pipeline. Transwestern did not exercise market power here because it did not refuse to provide service at the recourse rate. </w:t>
      </w:r>
      <w:ins w:id="12" w:author="mpavlou" w:date="2001-11-19T10:38:00Z">
        <w:r>
          <w:rPr/>
          <w:t xml:space="preserve"> [Do we want to also address here that the primary service is at a discounted rate</w:t>
        </w:r>
      </w:ins>
      <w:ins w:id="13" w:author="mpavlou" w:date="2001-11-19T11:14:00Z">
        <w:r>
          <w:rPr/>
          <w:t>?</w:t>
        </w:r>
      </w:ins>
      <w:ins w:id="14" w:author="mpavlou" w:date="2001-11-19T10:38:00Z">
        <w:r>
          <w:rPr/>
          <w:t xml:space="preserve"> – we need to know if they have been using the primary service or if they have been flowing to alternate points.]</w:t>
        </w:r>
      </w:ins>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9"/>
      </w:r>
      <w:r>
        <w:rPr/>
        <w:t xml:space="preserve">  Presumably, the CPUC is referring to the proceeding in Docket No</w:t>
      </w:r>
      <w:ins w:id="15" w:author="mpavlou" w:date="2001-11-19T10:50:00Z">
        <w:r>
          <w:rPr/>
          <w:t>s</w:t>
        </w:r>
      </w:ins>
      <w:r>
        <w:rPr/>
        <w:t>. RP97-288-0</w:t>
      </w:r>
      <w:ins w:id="16" w:author="mpavlou" w:date="2001-11-19T10:50:00Z">
        <w:r>
          <w:rPr/>
          <w:t>0</w:t>
        </w:r>
      </w:ins>
      <w:r>
        <w:rPr/>
        <w:t xml:space="preserve">9, </w:t>
      </w:r>
      <w:ins w:id="17" w:author="mpavlou" w:date="2001-11-19T10:50:00Z">
        <w:r>
          <w:rPr/>
          <w:t xml:space="preserve">et al. </w:t>
        </w:r>
      </w:ins>
      <w:r>
        <w:rPr/>
        <w:t>in which the Commission is conducting an investigation into the negotiated rates charged by Transwestern to other firm shippers. What the CPUC neglects to mention is that Judge Leventhal, the presiding administrative law judge in that proceeding, has found no evidence of discriminatory treatment and has concluded that Transwestern awarded the capacity at issue in a fair and nondiscriminatory manner.</w:t>
      </w:r>
      <w:r>
        <w:rPr>
          <w:rStyle w:val="FootnoteCharacters"/>
          <w:rStyle w:val="FootnoteReference"/>
        </w:rPr>
        <w:footnoteReference w:id="10"/>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jc w:val="center"/>
        <w:rPr>
          <w:b/>
        </w:rPr>
      </w:pPr>
      <w:r>
        <w:rPr>
          <w:b/>
        </w:rPr>
      </w:r>
    </w:p>
    <w:p>
      <w:pPr>
        <w:pStyle w:val="Normal"/>
        <w:spacing w:lineRule="auto" w:line="480" w:before="0" w:after="100"/>
        <w:jc w:val="both"/>
        <w:rPr>
          <w:bCs/>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also alleges that the USGT volumes subject to the  negotiated rate represent “approximately 23% of Transwestern’s combined eastward and westward capacity of 1.7 Bcf/d and approximately 40% of its westward capacity of 1.09 Bcf/d to California.” This allegation completely ignores the fact that the negotiated rate applies only to volumes delivered to </w:t>
      </w:r>
      <w:r>
        <w:rPr>
          <w:bCs/>
          <w:u w:val="single"/>
        </w:rPr>
        <w:t>alternate</w:t>
      </w:r>
      <w:r>
        <w:rPr>
          <w:bCs/>
        </w:rPr>
        <w:t xml:space="preserve"> delivery points. In fact, the volumes subject to the negotiated rate represent 0% of the combined eastward and westward capacity and 0% of the westward capacity to California using </w:t>
      </w:r>
      <w:r>
        <w:rPr>
          <w:bCs/>
          <w:u w:val="single"/>
        </w:rPr>
        <w:t>primary</w:t>
      </w:r>
      <w:r>
        <w:rPr>
          <w:bCs/>
        </w:rPr>
        <w:t xml:space="preserve"> delivery points. Under Transwestern’s tariff, volumes </w:t>
      </w:r>
      <w:ins w:id="18" w:author="mpavlou" w:date="2001-11-19T10:52:00Z">
        <w:r>
          <w:rPr>
            <w:bCs/>
          </w:rPr>
          <w:t>nominated</w:t>
        </w:r>
      </w:ins>
      <w:del w:id="19" w:author="mpavlou" w:date="2001-11-19T10:52:00Z">
        <w:r>
          <w:rPr>
            <w:bCs/>
          </w:rPr>
          <w:delText>scheduled</w:delText>
        </w:r>
      </w:del>
      <w:r>
        <w:rPr>
          <w:bCs/>
        </w:rPr>
        <w:t xml:space="preserve"> for delivery to alternate delivery points have </w:t>
      </w:r>
      <w:del w:id="20" w:author="mpavlou" w:date="2001-11-19T11:16:00Z">
        <w:r>
          <w:rPr>
            <w:bCs/>
          </w:rPr>
          <w:delText xml:space="preserve">the </w:delText>
        </w:r>
      </w:del>
      <w:r>
        <w:rPr>
          <w:bCs/>
        </w:rPr>
        <w:t>lowe</w:t>
      </w:r>
      <w:ins w:id="21" w:author="mpavlou" w:date="2001-11-19T11:16:00Z">
        <w:r>
          <w:rPr>
            <w:bCs/>
          </w:rPr>
          <w:t>r</w:t>
        </w:r>
      </w:ins>
      <w:del w:id="22" w:author="mpavlou" w:date="2001-11-19T11:16:00Z">
        <w:r>
          <w:rPr>
            <w:bCs/>
          </w:rPr>
          <w:delText>st</w:delText>
        </w:r>
      </w:del>
      <w:r>
        <w:rPr>
          <w:bCs/>
        </w:rPr>
        <w:t xml:space="preserve"> priority </w:t>
      </w:r>
      <w:ins w:id="23" w:author="mpavlou" w:date="2001-11-19T11:16:00Z">
        <w:r>
          <w:rPr>
            <w:bCs/>
          </w:rPr>
          <w:t xml:space="preserve">than primary </w:t>
        </w:r>
      </w:ins>
      <w:del w:id="24" w:author="mpavlou" w:date="2001-11-19T11:16:00Z">
        <w:r>
          <w:rPr>
            <w:bCs/>
          </w:rPr>
          <w:delText xml:space="preserve">of any </w:delText>
        </w:r>
      </w:del>
      <w:r>
        <w:rPr>
          <w:bCs/>
        </w:rPr>
        <w:t xml:space="preserve">firm service. /6 </w:t>
      </w:r>
      <w:ins w:id="25" w:author="mpavlou" w:date="2001-11-19T10:57:00Z">
        <w:r>
          <w:rPr>
            <w:bCs/>
          </w:rPr>
          <w:t>[I think Rate Schedule FTS-3 firm volumes have a lower scheduling priority</w:t>
        </w:r>
      </w:ins>
      <w:ins w:id="26" w:author="mpavlou" w:date="2001-11-19T11:14:00Z">
        <w:r>
          <w:rPr>
            <w:bCs/>
          </w:rPr>
          <w:t xml:space="preserve"> than FTS-1 firm volumes which is what USGT has- see</w:t>
        </w:r>
      </w:ins>
      <w:ins w:id="27" w:author="mpavlou" w:date="2001-11-19T10:57:00Z">
        <w:r>
          <w:rPr>
            <w:bCs/>
          </w:rPr>
          <w:t xml:space="preserve"> Sheet 80B</w:t>
        </w:r>
      </w:ins>
      <w:ins w:id="28" w:author="mpavlou" w:date="2001-11-19T11:14:00Z">
        <w:r>
          <w:rPr>
            <w:bCs/>
          </w:rPr>
          <w:t xml:space="preserve"> to</w:t>
        </w:r>
      </w:ins>
      <w:ins w:id="29" w:author="mpavlou" w:date="2001-11-19T10:57:00Z">
        <w:r>
          <w:rPr>
            <w:bCs/>
          </w:rPr>
          <w:t xml:space="preserve"> confirm] </w:t>
        </w:r>
      </w:ins>
      <w:r>
        <w:rPr>
          <w:bCs/>
        </w:rPr>
        <w:t xml:space="preserve">In fact during the period that the negotiated rates have been in effect, USGT has not transported </w:t>
      </w:r>
      <w:r>
        <w:rPr>
          <w:bCs/>
          <w:u w:val="single"/>
        </w:rPr>
        <w:t>any</w:t>
      </w:r>
      <w:r>
        <w:rPr>
          <w:bCs/>
        </w:rPr>
        <w:t xml:space="preserve"> volumes on Transwestern that would be subject to the negotiated rate. /7   </w:t>
      </w:r>
      <w:ins w:id="30" w:author="mpavlou" w:date="2001-11-19T10:59:00Z">
        <w:r>
          <w:rPr>
            <w:bCs/>
          </w:rPr>
          <w:t xml:space="preserve">Where are footnotes 6 and 7?  [Should we address that the rate </w:t>
        </w:r>
      </w:ins>
      <w:ins w:id="31" w:author="mpavlou" w:date="2001-11-19T11:01:00Z">
        <w:r>
          <w:rPr>
            <w:bCs/>
          </w:rPr>
          <w:t xml:space="preserve">charged </w:t>
        </w:r>
      </w:ins>
      <w:ins w:id="32" w:author="mpavlou" w:date="2001-11-19T10:59:00Z">
        <w:r>
          <w:rPr>
            <w:bCs/>
          </w:rPr>
          <w:t>has not exceeded greater than 10% of the maximum rate during the first 15 days as alleged by CPUC??]</w:t>
        </w:r>
      </w:ins>
      <w:ins w:id="33" w:author="mpavlou" w:date="2001-11-19T11:01:00Z">
        <w:r>
          <w:rPr>
            <w:bCs/>
          </w:rPr>
          <w:t xml:space="preserve">  </w:t>
        </w:r>
      </w:ins>
      <w:ins w:id="34" w:author="mpavlou" w:date="2001-11-19T11:14:00Z">
        <w:r>
          <w:rPr>
            <w:bCs/>
          </w:rPr>
          <w:t>Pls. h</w:t>
        </w:r>
      </w:ins>
      <w:ins w:id="35" w:author="mpavlou" w:date="2001-11-19T11:00:00Z">
        <w:r>
          <w:rPr>
            <w:bCs/>
          </w:rPr>
          <w:t xml:space="preserve">ave Mark check the actual volumes and rate to date.   </w:t>
        </w:r>
      </w:ins>
    </w:p>
    <w:p>
      <w:pPr>
        <w:pStyle w:val="Normal"/>
        <w:spacing w:lineRule="auto" w:line="480" w:before="0" w:after="100"/>
        <w:ind w:firstLine="720" w:end="0"/>
        <w:jc w:val="both"/>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w:t>
      </w:r>
      <w:del w:id="36" w:author="mpavlou" w:date="2001-11-19T11:03:00Z">
        <w:r>
          <w:rPr>
            <w:bCs/>
          </w:rPr>
          <w:delText xml:space="preserve"> </w:delText>
        </w:r>
      </w:del>
      <w:r>
        <w:rPr>
          <w:bCs/>
        </w:rPr>
        <w:t xml:space="preserve">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pPr>
      <w:r>
        <w:rPr>
          <w:bCs/>
        </w:rPr>
        <w:t xml:space="preserve">Unfortunately, the CPUC neglects to mention that the negotiated rate agreement with USGT is currently the </w:t>
      </w:r>
      <w:r>
        <w:rPr>
          <w:bCs/>
          <w:u w:val="single"/>
        </w:rPr>
        <w:t>only</w:t>
      </w:r>
      <w:r>
        <w:rPr>
          <w:bCs/>
        </w:rPr>
        <w:t xml:space="preserve"> negotiated rate agreement in effect on Transwestern’s system. Even if it were not, however, the Commission has imposed no limits on the number of transactions that involve negotiated rates. One of the goals of the Commission’s policy is to provide increased flexibility to shippers. Negotiated rates may be higher than the maximum tariff rates, lower than the maximum tariff rates, and designed without any regard to costs. This promotes the full utilization of available capacity, something which is 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 xml:space="preserve">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CPUC’s claims. It is burdensome and unfair to Transwestern to require that it be the subject of an investigation each time it makes a negotiated rate filing. Such a practice would, in fact, be contrary to the Commission’s negotiated rate policy, which expressly authorizes the use of negotiated rates. Evidently, the CPUC is trying to accomplish indirectly </w:t>
      </w:r>
      <w:del w:id="37" w:author="mpavlou" w:date="2001-11-19T11:05:00Z">
        <w:r>
          <w:rPr/>
          <w:delText xml:space="preserve"> </w:delText>
        </w:r>
      </w:del>
      <w:r>
        <w:rPr/>
        <w:t xml:space="preserve">what it was unable to do directly: thwart implementation of the </w:t>
      </w:r>
      <w:ins w:id="38" w:author="mpavlou" w:date="2001-11-19T11:05:00Z">
        <w:r>
          <w:rPr/>
          <w:t xml:space="preserve">Commission’s </w:t>
        </w:r>
      </w:ins>
      <w:r>
        <w:rPr/>
        <w:t>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Gregory J.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w:t>
      </w:r>
      <w:ins w:id="39" w:author="mpavlou" w:date="2001-11-19T11:15:00Z">
        <w:r>
          <w:rPr/>
          <w:t>406</w:t>
        </w:r>
      </w:ins>
      <w:del w:id="40" w:author="mpavlou" w:date="2001-11-19T11:15:00Z">
        <w:r>
          <w:rPr/>
          <w:delText>097</w:delText>
        </w:r>
      </w:del>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__,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Washington, D.C. this __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7</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Indicated Shippers’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pPr>
      <w:r>
        <w:rPr>
          <w:rStyle w:val="FootnoteCharacters"/>
        </w:rPr>
        <w:footnoteRef/>
      </w:r>
      <w:r>
        <w:rPr/>
        <w:t xml:space="preserve">USGT is the successor in interest to U.S. Gas Transmission, Inc. </w:t>
      </w:r>
    </w:p>
  </w:footnote>
  <w:footnote w:id="5">
    <w:p>
      <w:pPr>
        <w:pStyle w:val="FootnoteText"/>
        <w:rPr/>
      </w:pPr>
      <w:r>
        <w:rPr>
          <w:rStyle w:val="FootnoteCharacters"/>
        </w:rPr>
        <w:footnoteRef/>
      </w:r>
      <w:r>
        <w:rPr/>
        <w:t xml:space="preserve"> </w:t>
      </w:r>
      <w:r>
        <w:rPr/>
        <w:t>Alternatives to Traditional Cost-of-Service Ratemaking and Regulation of Negotiated Transportation Services of Natural Gas Pipelines, 74 FERC 61,076 (1996) (“Policy Statement”).</w:t>
      </w:r>
    </w:p>
    <w:p>
      <w:pPr>
        <w:pStyle w:val="FootnoteText"/>
        <w:rPr/>
      </w:pPr>
      <w:r>
        <w:rPr/>
      </w:r>
    </w:p>
  </w:footnote>
  <w:footnote w:id="6">
    <w:p>
      <w:pPr>
        <w:pStyle w:val="FootnoteText"/>
        <w:rPr/>
      </w:pPr>
      <w:r>
        <w:rPr>
          <w:rStyle w:val="FootnoteCharacters"/>
        </w:rPr>
        <w:footnoteRef/>
      </w:r>
      <w:r>
        <w:rPr/>
        <w:t xml:space="preserve"> </w:t>
      </w:r>
      <w:r>
        <w:rPr/>
        <w:t>Policy Statement 74 FERC at 61,227.</w:t>
      </w:r>
    </w:p>
  </w:footnote>
  <w:footnote w:id="7">
    <w:p>
      <w:pPr>
        <w:pStyle w:val="FootnoteText"/>
        <w:rPr/>
      </w:pPr>
      <w:r>
        <w:rPr>
          <w:rStyle w:val="FootnoteCharacters"/>
        </w:rPr>
        <w:footnoteRef/>
      </w:r>
      <w:r>
        <w:rPr/>
        <w:t xml:space="preserve"> </w:t>
      </w:r>
      <w:r>
        <w:rPr>
          <w:u w:val="single"/>
        </w:rPr>
        <w:t>Id</w:t>
      </w:r>
      <w:r>
        <w:rPr/>
        <w:t xml:space="preserve"> at 61,240.</w:t>
      </w:r>
    </w:p>
  </w:footnote>
  <w:footnote w:id="8">
    <w:p>
      <w:pPr>
        <w:pStyle w:val="FootnoteText"/>
        <w:rPr/>
      </w:pPr>
      <w:r>
        <w:rPr>
          <w:rStyle w:val="FootnoteCharacters"/>
        </w:rPr>
        <w:footnoteRef/>
      </w:r>
      <w:r>
        <w:rPr/>
        <w:t xml:space="preserve"> </w:t>
      </w:r>
      <w:r>
        <w:rPr/>
        <w:t>Protest at p. 6.</w:t>
      </w:r>
    </w:p>
  </w:footnote>
  <w:footnote w:id="9">
    <w:p>
      <w:pPr>
        <w:pStyle w:val="FootnoteText"/>
        <w:rPr/>
      </w:pPr>
      <w:r>
        <w:rPr>
          <w:rStyle w:val="FootnoteCharacters"/>
        </w:rPr>
        <w:footnoteRef/>
      </w:r>
      <w:r>
        <w:rPr/>
        <w:t xml:space="preserve"> </w:t>
      </w:r>
      <w:r>
        <w:rPr/>
        <w:t>Protest at p. 4.</w:t>
      </w:r>
    </w:p>
  </w:footnote>
  <w:footnote w:id="10">
    <w:p>
      <w:pPr>
        <w:pStyle w:val="FootnoteText"/>
        <w:rPr/>
      </w:pPr>
      <w:r>
        <w:rPr>
          <w:rStyle w:val="FootnoteCharacters"/>
        </w:rPr>
        <w:footnoteRef/>
      </w:r>
      <w:r>
        <w:rPr/>
        <w:t xml:space="preserve"> </w:t>
      </w:r>
      <w:del w:id="41" w:author="mpavlou" w:date="2001-11-19T10:59:00Z">
        <w:r>
          <w:rPr/>
          <w:delText>Initial Decision issued October 24, 2001,</w:delText>
        </w:r>
      </w:del>
      <w:r>
        <w:rPr>
          <w:u w:val="single"/>
          <w:rPrChange w:id="0" w:author="mpavlou" w:date="2001-11-19T10:59:00Z"/>
        </w:rPr>
        <w:t>Transwestern Pipeline Company</w:t>
      </w:r>
      <w:del w:id="43" w:author="mpavlou" w:date="2001-11-19T10:59:00Z">
        <w:r>
          <w:rPr/>
          <w:delText xml:space="preserve">, </w:delText>
        </w:r>
      </w:del>
      <w:ins w:id="44" w:author="mpavlou" w:date="2001-11-19T10:59:00Z">
        <w:r>
          <w:rPr/>
          <w:t xml:space="preserve">, 97 FERC </w:t>
        </w:r>
      </w:ins>
      <w:ins w:id="45" w:author="mpavlou" w:date="2001-11-19T11:14:00Z">
        <w:r>
          <w:rPr/>
          <w:t>¶</w:t>
        </w:r>
      </w:ins>
      <w:ins w:id="46" w:author="mpavlou" w:date="2001-11-19T10:59:00Z">
        <w:r>
          <w:rPr/>
          <w:t>63,010 (October 24, 2001)</w:t>
        </w:r>
      </w:ins>
      <w:del w:id="47" w:author="mpavlou" w:date="2001-11-19T10:59:00Z">
        <w:r>
          <w:rPr/>
          <w:delText>Docket</w:delText>
        </w:r>
      </w:del>
      <w:del w:id="48" w:author="mpavlou" w:date="2001-11-19T10:44:00Z">
        <w:r>
          <w:rPr/>
          <w:delText>s</w:delText>
        </w:r>
      </w:del>
      <w:del w:id="49" w:author="mpavlou" w:date="2001-11-19T10:59:00Z">
        <w:r>
          <w:rPr/>
          <w:delText xml:space="preserve"> No. RP 97-288-09, et al</w:delText>
        </w:r>
      </w:del>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2001-11-19T13:57:00Z</dcterms:created>
  <dc:creator>GIS</dc:creator>
  <dc:description/>
  <dc:language>en-CA</dc:language>
  <cp:lastModifiedBy>mpavlou</cp:lastModifiedBy>
  <cp:lastPrinted>2001-04-19T15:39:00Z</cp:lastPrinted>
  <dcterms:modified xsi:type="dcterms:W3CDTF">2001-11-19T14:46:00Z</dcterms:modified>
  <cp:revision>5</cp:revision>
  <dc:subject/>
  <dc:title>DRAFT – 3/28/01</dc:title>
</cp:coreProperties>
</file>