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UNITED STATES OF AMERICA</w:t>
      </w:r>
    </w:p>
    <w:p>
      <w:pPr>
        <w:pStyle w:val="Normal"/>
        <w:jc w:val="center"/>
        <w:rPr>
          <w:b/>
        </w:rPr>
      </w:pPr>
      <w:r>
        <w:rPr>
          <w:b/>
        </w:rPr>
        <w:t>BEFORE THE</w:t>
      </w:r>
    </w:p>
    <w:p>
      <w:pPr>
        <w:pStyle w:val="Normal"/>
        <w:jc w:val="center"/>
        <w:rPr>
          <w:b/>
        </w:rPr>
      </w:pPr>
      <w:r>
        <w:rPr>
          <w:b/>
        </w:rPr>
        <w:t>FEDERAL ENERGY REGULATORY COMMISSION</w:t>
      </w:r>
    </w:p>
    <w:p>
      <w:pPr>
        <w:pStyle w:val="Normal"/>
        <w:rPr/>
      </w:pPr>
      <w:r>
        <w:rPr/>
      </w:r>
    </w:p>
    <w:p>
      <w:pPr>
        <w:pStyle w:val="Normal"/>
        <w:rPr/>
      </w:pPr>
      <w:r>
        <w:rPr/>
      </w:r>
    </w:p>
    <w:p>
      <w:pPr>
        <w:pStyle w:val="Normal"/>
        <w:tabs>
          <w:tab w:val="clear" w:pos="720"/>
          <w:tab w:val="left" w:pos="3960" w:leader="none"/>
          <w:tab w:val="left" w:pos="5040" w:leader="none"/>
          <w:tab w:val="left" w:pos="6300" w:leader="none"/>
        </w:tabs>
        <w:rPr/>
      </w:pPr>
      <w:r>
        <w:rPr/>
        <w:t>Transwestern Pipeline Company</w:t>
        <w:tab/>
        <w:t>)</w:t>
        <w:tab/>
        <w:t>Docket Nos.</w:t>
        <w:tab/>
        <w:t>RP97-288-009</w:t>
      </w:r>
    </w:p>
    <w:p>
      <w:pPr>
        <w:pStyle w:val="Normal"/>
        <w:tabs>
          <w:tab w:val="clear" w:pos="720"/>
          <w:tab w:val="left" w:pos="3960" w:leader="none"/>
          <w:tab w:val="left" w:pos="5040" w:leader="none"/>
          <w:tab w:val="left" w:pos="6300" w:leader="none"/>
        </w:tabs>
        <w:rPr/>
      </w:pPr>
      <w:r>
        <w:rPr/>
        <w:tab/>
        <w:tab/>
        <w:tab/>
        <w:t>through 016</w:t>
      </w:r>
    </w:p>
    <w:p>
      <w:pPr>
        <w:pStyle w:val="Normal"/>
        <w:tabs>
          <w:tab w:val="clear" w:pos="720"/>
          <w:tab w:val="left" w:pos="3960" w:leader="none"/>
          <w:tab w:val="left" w:pos="5040" w:leader="none"/>
          <w:tab w:val="left" w:pos="6300" w:leader="none"/>
        </w:tabs>
        <w:rPr/>
      </w:pPr>
      <w:r>
        <w:rPr/>
      </w:r>
    </w:p>
    <w:p>
      <w:pPr>
        <w:pStyle w:val="Normal"/>
        <w:tabs>
          <w:tab w:val="clear" w:pos="720"/>
          <w:tab w:val="left" w:pos="3960" w:leader="none"/>
          <w:tab w:val="left" w:pos="5040" w:leader="none"/>
          <w:tab w:val="left" w:pos="6300" w:leader="none"/>
        </w:tabs>
        <w:rPr/>
      </w:pPr>
      <w:r>
        <w:rPr/>
      </w:r>
    </w:p>
    <w:p>
      <w:pPr>
        <w:pStyle w:val="Normal"/>
        <w:tabs>
          <w:tab w:val="clear" w:pos="720"/>
          <w:tab w:val="left" w:pos="3960" w:leader="none"/>
          <w:tab w:val="left" w:pos="5040" w:leader="none"/>
          <w:tab w:val="left" w:pos="6300" w:leader="none"/>
        </w:tabs>
        <w:jc w:val="center"/>
        <w:rPr>
          <w:b/>
        </w:rPr>
      </w:pPr>
      <w:r>
        <w:rPr>
          <w:b/>
        </w:rPr>
        <w:t xml:space="preserve">SUMMARY OF THE </w:t>
      </w:r>
    </w:p>
    <w:p>
      <w:pPr>
        <w:pStyle w:val="Normal"/>
        <w:tabs>
          <w:tab w:val="clear" w:pos="720"/>
          <w:tab w:val="left" w:pos="3960" w:leader="none"/>
          <w:tab w:val="left" w:pos="5040" w:leader="none"/>
          <w:tab w:val="left" w:pos="6300" w:leader="none"/>
        </w:tabs>
        <w:jc w:val="center"/>
        <w:rPr>
          <w:b/>
        </w:rPr>
      </w:pPr>
      <w:r>
        <w:rPr>
          <w:b/>
        </w:rPr>
        <w:t>PREPARED DIRECT TESTIMONY</w:t>
      </w:r>
    </w:p>
    <w:p>
      <w:pPr>
        <w:pStyle w:val="Normal"/>
        <w:tabs>
          <w:tab w:val="clear" w:pos="720"/>
          <w:tab w:val="left" w:pos="3960" w:leader="none"/>
          <w:tab w:val="left" w:pos="5040" w:leader="none"/>
          <w:tab w:val="left" w:pos="6300" w:leader="none"/>
        </w:tabs>
        <w:jc w:val="center"/>
        <w:rPr>
          <w:u w:val="single"/>
        </w:rPr>
      </w:pPr>
      <w:r>
        <w:rPr>
          <w:b/>
          <w:u w:val="single"/>
        </w:rPr>
        <w:t>      </w:t>
      </w:r>
      <w:r>
        <w:rPr>
          <w:b/>
          <w:u w:val="single"/>
        </w:rPr>
        <w:t>OF MARY KAY MILLER      </w:t>
      </w:r>
    </w:p>
    <w:p>
      <w:pPr>
        <w:pStyle w:val="Normal"/>
        <w:rPr>
          <w:u w:val="single"/>
        </w:rPr>
      </w:pPr>
      <w:r>
        <w:rPr>
          <w:u w:val="single"/>
        </w:rPr>
      </w:r>
    </w:p>
    <w:p>
      <w:pPr>
        <w:pStyle w:val="Normal"/>
        <w:rPr/>
      </w:pPr>
      <w:r>
        <w:rPr/>
      </w:r>
    </w:p>
    <w:p>
      <w:pPr>
        <w:pStyle w:val="Normal"/>
        <w:spacing w:lineRule="auto" w:line="480"/>
        <w:rPr/>
      </w:pPr>
      <w:r>
        <w:rPr/>
        <w:tab/>
        <w:t>Ms. Miller, Transwestern’s Vice President - Rates and Certificates addresses the four questions raised by the Commission’s July 26, 2001 order.  She explains that the transportation capacity at issue in this proceeding was in fact advertised and awarded in an accurate and fair manner consistent with Transwestern’s tariff.  In addition, Ms. Miller shows that Transwestern did not withhold the capacity at issue, but, in fact, made it available under recourse rates.  Further, she explains that the capacity at issue was in fact made available on a firm basis without regard to the particular rates elected by the shipper, whether they were negotiated rates or recourse rates. (Page 3)</w:t>
      </w:r>
    </w:p>
    <w:p>
      <w:pPr>
        <w:pStyle w:val="Normal"/>
        <w:spacing w:lineRule="auto" w:line="480"/>
        <w:rPr/>
      </w:pPr>
      <w:r>
        <w:rPr/>
        <w:tab/>
        <w:t>Ms. Miller describes the 8 contracts at issue.  Four of the contracts are short-term contracts providing the right to daily firm capacity.  (Page 4)  The remaining 4 contracts have negotiated rate provisions that apply to alternate delivery point capacity for firm deliveries to California. (Page 6)  She explains that a shipper with alternate firm delivery point capacity has no assurance of having the capacity and will not receive any capacity if all of the capacity at the delivery point is fully contracted and utilized by the shippers having primary firm capacity.  (Pages 6-7)</w:t>
      </w:r>
    </w:p>
    <w:p>
      <w:pPr>
        <w:pStyle w:val="Normal"/>
        <w:spacing w:lineRule="auto" w:line="480"/>
        <w:rPr/>
      </w:pPr>
      <w:r>
        <w:rPr/>
        <w:tab/>
        <w:t>Ms. Miller states that while Transwestern’s certificated design capacity for firm deliveries to California is fully subscribed on a long-term basis, additional capacity became available for a short period of time due to oprational conditions.  (Page 7)  Ms. Miller notes that the Commission has allowed operational capacity to be sold on a short-term firm basis. (Page 7)  Ms. Miller explains that Transwestern posts its available capacity on its internet web site, thereby offering such capacity to all potential shippers and giving all potential shippers the opportunity to submit a request for such capacity.  (Page 8)  She states that for capacity being made available for 5 months or less, Transwestern’s procedure is to post such capacity for one business day, from 9:00 a.m. to 5:00 p.m., which is more than sufficient under Commission policy.  (Page 8)  She states that Transwestern’s time period for posting capacity available for one year or longer is 5 business days.  (Page 9) In accordance with Section 18 of the General Terms and Conditions of Transwestern’s FERC Gas Tariff, firm capacity posted as available is identified on Transwestern’s Unsubscribed Capacity Report as to its location by mainline/lateral, receipt point(s) and delivery point(s).  (Page 9)  Ms. Miller explains that if only one request for the posted capacity is received by the end of the posting period, the requesting shipper is entitled to the capacity at the recourse rate, which is Transwestern’s Commission-approved maximum tariff rate. (Page 10) However, the requesting shipper and Transwestern may agree to substitute a discounted rate or a negotiated rate.  If more than one request for the posted capacity is received by the end of the posting period, Transwestern follows the allocation procedures in its tariff.  (Page 10).  She states that after each respective posting and bidding period ended for each respective amount of posted capacity, Transwestern awarded the posted capacity to the only shipper requesting such capacity and entered into the contracts at issue.  (Page 10)</w:t>
      </w:r>
    </w:p>
    <w:p>
      <w:pPr>
        <w:pStyle w:val="Normal"/>
        <w:spacing w:lineRule="auto" w:line="480"/>
        <w:rPr/>
      </w:pPr>
      <w:r>
        <w:rPr/>
        <w:tab/>
        <w:t xml:space="preserve">Ms. Miller explains that when Transwestern posted the capacity at issue on its internet web site, it gave notice to all potential shippers that there was available firm capacity at the identified locations which any potential shipper could have requested at the firm recourse rates in Transwestern’s FERC Gas Tariff, which also are posted on Transwestern’s internet web site.  (Page 11)  She describes Transwestern’s firm recourse rates as consisting of two parts:  the reservation charge and the commodity charge.  The reservation charge applies to the firm capacity (maximum daily quantity or MDQ) that is reserved under the contract and is paid by the shipper even if no gas flows.  The commodity charge applies on a per unit basis to the volumes that flow.  The locations of the receipt point and delivery point determine the specific reservation charge and commodity charge that apply. (Page 11) She notes that the Commission has authorized pipelines to negotiate individually with potential shippers and agree to rates that are between the maximum and minimum rates set forth in the pipeline’s tariff and these rates are called discounted rates. (Page 12)  </w:t>
      </w:r>
    </w:p>
    <w:p>
      <w:pPr>
        <w:pStyle w:val="Normal"/>
        <w:spacing w:lineRule="auto" w:line="480"/>
        <w:ind w:firstLine="720" w:end="0"/>
        <w:rPr/>
      </w:pPr>
      <w:r>
        <w:rPr/>
        <w:t>Ms. Miller also states that the Commission has authorized pipelines to negotiate individually with potential shippers and agree to rates that are above the maximum rates and/or below the minimum rates set forth in the pipeline’s tariff and these rates are called negotiated rates.  (Page 12)  She explains that one type of negotiated rate is a volumetric rate, in which there is no reservation charge and the commodity charge exceeds the maximum tariff commodity charge.  Under a volumetric rate, the shipper pays the agreed-upon rate on a per unit basis on the volumes that flow and pays nothing if gas does not flow.  Under Commission policy, any formula-based or index-based volumetric rate is treated as a negotiated rate.  An index-based rate is determined by using published price indices that Transwestern cannot control.  This is the type of negotiated rate that is involved in the contracts at issue here. (Page 12)  She explains that the Commission requires that a pipeline agree to a shipper’s request for available capacity at the recourse rate, but no potential shipper requested recourse rates for the capacity at issue.  (Pages 12-13)</w:t>
      </w:r>
    </w:p>
    <w:p>
      <w:pPr>
        <w:pStyle w:val="Normal"/>
        <w:spacing w:lineRule="auto" w:line="480"/>
        <w:rPr/>
      </w:pPr>
      <w:r>
        <w:rPr/>
        <w:tab/>
        <w:t>Ms. Miller states that, as expressly set forth in Transwestern’s tariff and posted on Transwestern’s internet web site in the Form of Service Agreement, Form M, for firm service under Rate Schedule FTS</w:t>
        <w:noBreakHyphen/>
        <w:t>1, Transwestern provides every potential shipper requesting the recourse rate with such recourse rate (the maximum tariff rate) unless there is an agreement on a discounted rate below the maximum rate or an agreement on a negotiated rate either below the minimum rate or above the maximum rate.  (Page 14)  She explains that for each contract at issue, each shipper agreed to a negotiated rate in place of the recourse rate that otherwise would have applied. (Page 14)</w:t>
      </w:r>
    </w:p>
    <w:p>
      <w:pPr>
        <w:pStyle w:val="Normal"/>
        <w:spacing w:lineRule="auto" w:line="480"/>
        <w:rPr/>
      </w:pPr>
      <w:r>
        <w:rPr/>
        <w:tab/>
        <w:t>Ms. Miller states that all firm shippers are treated the same regardless of the type of rate in their FTS</w:t>
        <w:noBreakHyphen/>
        <w:t xml:space="preserve">1 contract and that there are no separate categories of firm capacity, </w:t>
      </w:r>
      <w:r>
        <w:rPr>
          <w:i/>
        </w:rPr>
        <w:t>i.e.</w:t>
      </w:r>
      <w:r>
        <w:rPr/>
        <w:t>, there is no such thing as “recourse rate firm capacity” or “negotiated rate firm capacity” or “discounted rate firm capacity.” (Page 15)</w:t>
      </w:r>
    </w:p>
    <w:sectPr>
      <w:headerReference w:type="default" r:id="rId2"/>
      <w:headerReference w:type="first" r:id="rId3"/>
      <w:type w:val="nextPage"/>
      <w:pgSz w:w="12240" w:h="15840"/>
      <w:pgMar w:left="2160" w:right="216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19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G Times" w:hAnsi="CG Times" w:eastAsia="Times New Roman" w:cs="CG Times"/>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CG Times" w:hAnsi="CG Times" w:cs="CG Times"/>
      <w:position w:val="0"/>
      <w:sz w:val="24"/>
      <w:sz w:val="24"/>
      <w:u w:val="single"/>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CG Times" w:hAnsi="CG Times" w:cs="CG Times"/>
      <w:sz w:val="24"/>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ind w:hanging="720" w:start="720" w:end="0"/>
      <w:jc w:val="both"/>
    </w:pPr>
    <w:rPr>
      <w:rFonts w:ascii="CG Times" w:hAnsi="CG Times" w:cs="CG Times"/>
      <w:sz w:val="24"/>
    </w:rPr>
  </w:style>
  <w:style w:type="paragraph" w:styleId="EnvelopeAddress">
    <w:name w:val="envelope address"/>
    <w:basedOn w:val="Normal"/>
    <w:pPr>
      <w:ind w:hanging="0" w:start="288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2001-08-10T17:55:00Z</dcterms:created>
  <dc:creator>Diane</dc:creator>
  <dc:description/>
  <dc:language>en-CA</dc:language>
  <cp:lastModifiedBy>Akin Gump</cp:lastModifiedBy>
  <cp:lastPrinted>2001-08-10T11:47:00Z</cp:lastPrinted>
  <dcterms:modified xsi:type="dcterms:W3CDTF">2001-08-10T17:55:00Z</dcterms:modified>
  <cp:revision>2</cp:revision>
  <dc:subject/>
  <dc:title>UNITED STATES OF AMERICA</dc:title>
</cp:coreProperties>
</file>