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UNITED STATES OF AMERICA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BEFORE THE </w:t>
      </w:r>
    </w:p>
    <w:p>
      <w:pPr>
        <w:pStyle w:val="Normal"/>
        <w:jc w:val="center"/>
        <w:rPr>
          <w:b/>
        </w:rPr>
      </w:pPr>
      <w:r>
        <w:rPr>
          <w:b/>
        </w:rPr>
        <w:t>FEDERAL ENERGY REGULATORY COMMISSION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0"/>
        </w:numPr>
        <w:ind w:hanging="0" w:start="0"/>
        <w:rPr/>
      </w:pPr>
      <w:r>
        <w:rPr/>
        <w:t>Transwestern Pipeline Company</w:t>
        <w:tab/>
        <w:tab/>
        <w:t>)</w:t>
        <w:tab/>
        <w:t>Docket No. RP97-288-009 -- 016</w:t>
      </w:r>
    </w:p>
    <w:p>
      <w:pPr>
        <w:pStyle w:val="Normal"/>
        <w:ind w:firstLine="720" w:start="4320" w:end="0"/>
        <w:rPr>
          <w:b/>
        </w:rPr>
      </w:pPr>
      <w:r>
        <w:rPr>
          <w:b/>
        </w:rPr>
      </w:r>
    </w:p>
    <w:p>
      <w:pPr>
        <w:pStyle w:val="Normal"/>
        <w:ind w:firstLine="720" w:start="4320" w:end="0"/>
        <w:rPr>
          <w:b/>
        </w:rPr>
      </w:pPr>
      <w:r>
        <w:rPr>
          <w:b/>
        </w:rPr>
      </w:r>
    </w:p>
    <w:p>
      <w:pPr>
        <w:pStyle w:val="BodyText"/>
        <w:keepNext w:val="true"/>
        <w:jc w:val="center"/>
        <w:rPr>
          <w:b/>
        </w:rPr>
      </w:pPr>
      <w:r>
        <w:rPr>
          <w:b/>
        </w:rPr>
        <w:t xml:space="preserve">SUMMARY OF </w:t>
      </w:r>
    </w:p>
    <w:p>
      <w:pPr>
        <w:pStyle w:val="BodyText"/>
        <w:keepNext w:val="true"/>
        <w:jc w:val="center"/>
        <w:rPr>
          <w:b/>
        </w:rPr>
      </w:pPr>
      <w:r>
        <w:rPr>
          <w:b/>
        </w:rPr>
        <w:t>PREPARED DIRECT TESTIMONY</w:t>
      </w:r>
    </w:p>
    <w:p>
      <w:pPr>
        <w:pStyle w:val="BodyText"/>
        <w:keepNext w:val="true"/>
        <w:jc w:val="center"/>
        <w:rPr>
          <w:b/>
        </w:rPr>
      </w:pPr>
      <w:r>
        <w:rPr>
          <w:b/>
        </w:rPr>
        <w:t>OF</w:t>
      </w:r>
    </w:p>
    <w:p>
      <w:pPr>
        <w:pStyle w:val="BodyText"/>
        <w:keepNext w:val="true"/>
        <w:jc w:val="center"/>
        <w:rPr>
          <w:b/>
        </w:rPr>
      </w:pPr>
      <w:r>
        <w:rPr>
          <w:b/>
        </w:rPr>
        <w:t>STEVEN M. HARRIS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Indent"/>
        <w:rPr/>
      </w:pPr>
      <w:r>
        <w:rPr/>
        <w:t>Mr. Harris expresses the opinion that the reason Transwestern’s shippers under the subject transactions agreed to the negotiated rates over the available recourse rate was that:  (1)  shippers generally transact their business on an index basis, (2) by electing to pay a negotiated rate, the shippers avoided demand cost risks inherent in the traditional recourse rate structure, and (3) under the negotiated rates, if the gas did flow, the shippers were guaranteed a profit in the transaction equal to the shippers’ agreed upon share of the spread, or basis differential, used to calculate the negotiated rates.</w:t>
      </w:r>
    </w:p>
    <w:p>
      <w:pPr>
        <w:pStyle w:val="Footer"/>
        <w:tabs>
          <w:tab w:val="clear" w:pos="4680"/>
          <w:tab w:val="clear" w:pos="9360"/>
        </w:tabs>
        <w:rPr/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/>
    </w:pPr>
    <w:r>
      <w:rPr/>
      <w:t>Exhibit No. TW-3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360"/>
        </w:tabs>
        <w:ind w:start="0" w:hanging="0"/>
      </w:p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1440" w:hanging="0"/>
      </w:pPr>
    </w:lvl>
    <w:lvl w:ilvl="3">
      <w:start w:val="1"/>
      <w:pStyle w:val="Heading4"/>
      <w:numFmt w:val="lowerLetter"/>
      <w:lvlText w:val="%4)"/>
      <w:lvlJc w:val="start"/>
      <w:pPr>
        <w:tabs>
          <w:tab w:val="num" w:pos="2520"/>
        </w:tabs>
        <w:ind w:start="2160" w:hanging="0"/>
      </w:pPr>
    </w:lvl>
    <w:lvl w:ilvl="4">
      <w:start w:val="1"/>
      <w:pStyle w:val="Heading5"/>
      <w:numFmt w:val="decimal"/>
      <w:lvlText w:val="(%5)"/>
      <w:lvlJc w:val="start"/>
      <w:pPr>
        <w:tabs>
          <w:tab w:val="num" w:pos="3240"/>
        </w:tabs>
        <w:ind w:start="2880" w:hanging="0"/>
      </w:pPr>
    </w:lvl>
    <w:lvl w:ilvl="5">
      <w:start w:val="1"/>
      <w:pStyle w:val="Heading6"/>
      <w:numFmt w:val="lowerLetter"/>
      <w:lvlText w:val="(%6)"/>
      <w:lvlJc w:val="start"/>
      <w:pPr>
        <w:tabs>
          <w:tab w:val="num" w:pos="3960"/>
        </w:tabs>
        <w:ind w:start="3600" w:hanging="0"/>
      </w:pPr>
    </w:lvl>
    <w:lvl w:ilvl="6">
      <w:start w:val="1"/>
      <w:pStyle w:val="Heading7"/>
      <w:numFmt w:val="lowerRoman"/>
      <w:lvlText w:val="(%7)"/>
      <w:lvlJc w:val="start"/>
      <w:pPr>
        <w:tabs>
          <w:tab w:val="num" w:pos="4680"/>
        </w:tabs>
        <w:ind w:start="4320" w:hanging="0"/>
      </w:pPr>
    </w:lvl>
    <w:lvl w:ilvl="7">
      <w:start w:val="1"/>
      <w:pStyle w:val="Heading8"/>
      <w:numFmt w:val="lowerLetter"/>
      <w:lvlText w:val="(%8)"/>
      <w:lvlJc w:val="start"/>
      <w:pPr>
        <w:tabs>
          <w:tab w:val="num" w:pos="5400"/>
        </w:tabs>
        <w:ind w:start="5040" w:hanging="0"/>
      </w:pPr>
    </w:lvl>
    <w:lvl w:ilvl="8">
      <w:start w:val="1"/>
      <w:pStyle w:val="Heading9"/>
      <w:numFmt w:val="lowerRoman"/>
      <w:lvlText w:val="(%9)"/>
      <w:lvlJc w:val="start"/>
      <w:pPr>
        <w:tabs>
          <w:tab w:val="num" w:pos="6120"/>
        </w:tabs>
        <w:ind w:start="576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</w:tabs>
      <w:spacing w:before="0" w:after="240"/>
      <w:jc w:val="both"/>
      <w:outlineLvl w:val="0"/>
    </w:pPr>
    <w:rPr>
      <w:kern w:val="2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tabs>
        <w:tab w:val="clear" w:pos="720"/>
      </w:tabs>
      <w:spacing w:before="0" w:after="240"/>
      <w:jc w:val="both"/>
      <w:outlineLvl w:val="1"/>
    </w:pPr>
    <w:rPr/>
  </w:style>
  <w:style w:type="paragraph" w:styleId="Heading3">
    <w:name w:val="heading 3"/>
    <w:basedOn w:val="Normal"/>
    <w:next w:val="Normal"/>
    <w:qFormat/>
    <w:pPr>
      <w:numPr>
        <w:ilvl w:val="2"/>
        <w:numId w:val="1"/>
      </w:numPr>
      <w:tabs>
        <w:tab w:val="clear" w:pos="720"/>
      </w:tabs>
      <w:spacing w:before="0" w:after="240"/>
      <w:jc w:val="both"/>
      <w:outlineLvl w:val="2"/>
    </w:pPr>
    <w:rPr/>
  </w:style>
  <w:style w:type="paragraph" w:styleId="Heading4">
    <w:name w:val="heading 4"/>
    <w:basedOn w:val="Normal"/>
    <w:next w:val="Normal"/>
    <w:qFormat/>
    <w:pPr>
      <w:numPr>
        <w:ilvl w:val="3"/>
        <w:numId w:val="1"/>
      </w:numPr>
      <w:tabs>
        <w:tab w:val="clear" w:pos="720"/>
      </w:tabs>
      <w:spacing w:before="0" w:after="240"/>
      <w:jc w:val="both"/>
      <w:outlineLvl w:val="3"/>
    </w:pPr>
    <w:rPr/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tabs>
        <w:tab w:val="clear" w:pos="720"/>
      </w:tabs>
      <w:spacing w:before="0" w:after="240"/>
      <w:jc w:val="both"/>
      <w:outlineLvl w:val="4"/>
    </w:pPr>
    <w:rPr/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clear" w:pos="720"/>
      </w:tabs>
      <w:spacing w:before="0" w:after="240"/>
      <w:jc w:val="both"/>
      <w:outlineLvl w:val="5"/>
    </w:pPr>
    <w:rPr/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clear" w:pos="720"/>
      </w:tabs>
      <w:spacing w:before="0" w:after="240"/>
      <w:outlineLvl w:val="6"/>
    </w:pPr>
    <w:rPr/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clear" w:pos="720"/>
      </w:tabs>
      <w:spacing w:before="0" w:after="240"/>
      <w:outlineLvl w:val="7"/>
    </w:pPr>
    <w:rPr/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clear" w:pos="720"/>
      </w:tabs>
      <w:spacing w:before="0" w:after="240"/>
      <w:outlineLvl w:val="8"/>
    </w:pPr>
    <w:rPr/>
  </w:style>
  <w:style w:type="character" w:styleId="DefaultParagraphFont">
    <w:name w:val="Default Paragraph Font"/>
    <w:qFormat/>
    <w:rPr/>
  </w:style>
  <w:style w:type="character" w:styleId="DOCSFooter">
    <w:name w:val="DOCSFooter"/>
    <w:basedOn w:val="DefaultParagraphFont"/>
    <w:qFormat/>
    <w:rPr>
      <w:rFonts w:ascii="Arial" w:hAnsi="Arial" w:cs="Arial"/>
      <w:strike w:val="false"/>
      <w:dstrike w:val="false"/>
      <w:color w:val="auto"/>
      <w:w w:val="100"/>
      <w:kern w:val="0"/>
      <w:position w:val="0"/>
      <w:sz w:val="14"/>
      <w:sz w:val="14"/>
      <w:u w:val="none"/>
      <w:vertAlign w:val="baseline"/>
    </w:rPr>
  </w:style>
  <w:style w:type="character" w:styleId="HidefromTOC">
    <w:name w:val="Hide from TOC"/>
    <w:basedOn w:val="DefaultParagraphFont"/>
    <w:qFormat/>
    <w:rPr>
      <w:vanish w:val="fals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lang w:eastAsia="en-US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BodyTextIndent">
    <w:name w:val="Body Text Indent"/>
    <w:basedOn w:val="Normal"/>
    <w:pPr>
      <w:spacing w:lineRule="auto" w:line="480"/>
      <w:ind w:firstLine="720" w:start="0" w:end="0"/>
    </w:pPr>
    <w:rPr/>
  </w:style>
  <w:style w:type="paragraph" w:styleId="BodyTextIndent2">
    <w:name w:val="Body Text Indent 2"/>
    <w:basedOn w:val="Normal"/>
    <w:qFormat/>
    <w:pPr>
      <w:ind w:firstLine="720" w:start="4320" w:end="0"/>
      <w:jc w:val="center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2001-08-10T17:50:00Z</dcterms:created>
  <dc:creator>Akin Gump</dc:creator>
  <dc:description/>
  <dc:language>en-CA</dc:language>
  <cp:lastModifiedBy>Akin Gump</cp:lastModifiedBy>
  <cp:lastPrinted>2001-08-10T13:31:00Z</cp:lastPrinted>
  <dcterms:modified xsi:type="dcterms:W3CDTF">2001-08-10T17:50:00Z</dcterms:modified>
  <cp:revision>2</cp:revision>
  <dc:subject/>
  <dc:title>Harris</dc:title>
</cp:coreProperties>
</file>