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3600" w:end="0"/>
        <w:rPr>
          <w:sz w:val="26"/>
          <w:szCs w:val="26"/>
        </w:rPr>
      </w:pPr>
      <w:r>
        <w:rPr>
          <w:sz w:val="26"/>
          <w:szCs w:val="26"/>
        </w:rPr>
        <w:t>97 FERC ¶  63, 010</w:t>
      </w:r>
    </w:p>
    <w:p>
      <w:pPr>
        <w:pStyle w:val="Normal"/>
        <w:widowControl/>
        <w:tabs>
          <w:tab w:val="clear" w:pos="720"/>
          <w:tab w:val="center" w:pos="4680" w:leader="none"/>
        </w:tabs>
        <w:rPr>
          <w:sz w:val="26"/>
          <w:szCs w:val="26"/>
        </w:rPr>
      </w:pPr>
      <w:r>
        <w:rPr>
          <w:sz w:val="26"/>
          <w:szCs w:val="26"/>
        </w:rPr>
        <w:tab/>
        <w:t>UNITED STATES OF AMERICA</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ind w:firstLine="6480" w:end="0"/>
        <w:rPr>
          <w:sz w:val="26"/>
          <w:szCs w:val="26"/>
        </w:rPr>
      </w:pPr>
      <w:r>
        <w:rPr>
          <w:sz w:val="26"/>
          <w:szCs w:val="26"/>
        </w:rPr>
      </w:r>
    </w:p>
    <w:p>
      <w:pPr>
        <w:pStyle w:val="Normal"/>
        <w:widowControl/>
        <w:tabs>
          <w:tab w:val="clear" w:pos="720"/>
          <w:tab w:val="left" w:pos="-1440" w:leader="none"/>
        </w:tabs>
        <w:ind w:hanging="6300" w:start="6300" w:end="0"/>
        <w:rPr>
          <w:sz w:val="26"/>
          <w:szCs w:val="26"/>
        </w:rPr>
      </w:pPr>
      <w:r>
        <w:rPr>
          <w:sz w:val="26"/>
          <w:szCs w:val="26"/>
        </w:rPr>
        <w:t>Transwestern Pipeline Company</w:t>
        <w:tab/>
        <w:tab/>
        <w:tab/>
        <w:tab/>
        <w:t>Docket Nos. RP97-288-009</w:t>
      </w:r>
    </w:p>
    <w:p>
      <w:pPr>
        <w:pStyle w:val="Normal"/>
        <w:widowControl/>
        <w:ind w:firstLine="810" w:start="6300" w:end="0"/>
        <w:rPr>
          <w:sz w:val="26"/>
          <w:szCs w:val="26"/>
        </w:rPr>
      </w:pPr>
      <w:r>
        <w:rPr>
          <w:sz w:val="26"/>
          <w:szCs w:val="26"/>
        </w:rPr>
        <w:t>RP97-288-010</w:t>
      </w:r>
    </w:p>
    <w:p>
      <w:pPr>
        <w:pStyle w:val="Normal"/>
        <w:widowControl/>
        <w:ind w:firstLine="810" w:start="6300" w:end="0"/>
        <w:rPr>
          <w:sz w:val="26"/>
          <w:szCs w:val="26"/>
        </w:rPr>
      </w:pPr>
      <w:r>
        <w:rPr>
          <w:sz w:val="26"/>
          <w:szCs w:val="26"/>
        </w:rPr>
        <w:t>RP97-288-011</w:t>
      </w:r>
    </w:p>
    <w:p>
      <w:pPr>
        <w:pStyle w:val="Normal"/>
        <w:widowControl/>
        <w:tabs>
          <w:tab w:val="clear" w:pos="720"/>
          <w:tab w:val="left" w:pos="-1440" w:leader="none"/>
        </w:tabs>
        <w:ind w:firstLine="810" w:start="6300" w:end="0"/>
        <w:rPr>
          <w:sz w:val="26"/>
          <w:szCs w:val="26"/>
        </w:rPr>
      </w:pPr>
      <w:r>
        <w:rPr>
          <w:sz w:val="26"/>
          <w:szCs w:val="26"/>
        </w:rPr>
        <w:t>RP97-288-012</w:t>
      </w:r>
    </w:p>
    <w:p>
      <w:pPr>
        <w:pStyle w:val="Normal"/>
        <w:widowControl/>
        <w:tabs>
          <w:tab w:val="clear" w:pos="720"/>
          <w:tab w:val="left" w:pos="-1440" w:leader="none"/>
        </w:tabs>
        <w:ind w:firstLine="810" w:start="6300" w:end="0"/>
        <w:rPr>
          <w:sz w:val="26"/>
          <w:szCs w:val="26"/>
        </w:rPr>
      </w:pPr>
      <w:r>
        <w:rPr>
          <w:sz w:val="26"/>
          <w:szCs w:val="26"/>
        </w:rPr>
        <w:t>RP97-288-013</w:t>
      </w:r>
    </w:p>
    <w:p>
      <w:pPr>
        <w:pStyle w:val="Normal"/>
        <w:widowControl/>
        <w:ind w:firstLine="810" w:start="6300" w:end="0"/>
        <w:rPr>
          <w:sz w:val="26"/>
          <w:szCs w:val="26"/>
        </w:rPr>
      </w:pPr>
      <w:r>
        <w:rPr>
          <w:sz w:val="26"/>
          <w:szCs w:val="26"/>
        </w:rPr>
        <w:t>RP97-288-014</w:t>
      </w:r>
    </w:p>
    <w:p>
      <w:pPr>
        <w:pStyle w:val="Normal"/>
        <w:widowControl/>
        <w:ind w:firstLine="810" w:start="6300" w:end="0"/>
        <w:rPr>
          <w:sz w:val="26"/>
          <w:szCs w:val="26"/>
        </w:rPr>
      </w:pPr>
      <w:r>
        <w:rPr>
          <w:sz w:val="26"/>
          <w:szCs w:val="26"/>
        </w:rPr>
        <w:t>RP97-228-015</w:t>
      </w:r>
    </w:p>
    <w:p>
      <w:pPr>
        <w:pStyle w:val="Normal"/>
        <w:widowControl/>
        <w:ind w:firstLine="810" w:start="6300" w:end="0"/>
        <w:rPr>
          <w:sz w:val="26"/>
          <w:szCs w:val="26"/>
        </w:rPr>
      </w:pPr>
      <w:r>
        <w:rPr>
          <w:sz w:val="26"/>
          <w:szCs w:val="26"/>
        </w:rPr>
        <w:t>RP97-288-016</w:t>
      </w:r>
    </w:p>
    <w:p>
      <w:pPr>
        <w:pStyle w:val="Normal"/>
        <w:widowControl/>
        <w:ind w:firstLine="720" w:end="0"/>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INITIAL DECISION</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October 24, 2001)</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r>
      <w:r>
        <w:rPr>
          <w:sz w:val="26"/>
          <w:szCs w:val="26"/>
          <w:u w:val="single"/>
        </w:rPr>
        <w:t>APPEARANCES</w:t>
      </w:r>
    </w:p>
    <w:p>
      <w:pPr>
        <w:pStyle w:val="Normal"/>
        <w:widowControl/>
        <w:rPr>
          <w:sz w:val="26"/>
          <w:szCs w:val="26"/>
        </w:rPr>
      </w:pPr>
      <w:r>
        <w:rPr>
          <w:sz w:val="26"/>
          <w:szCs w:val="26"/>
        </w:rPr>
      </w:r>
    </w:p>
    <w:p>
      <w:pPr>
        <w:pStyle w:val="Normal"/>
        <w:widowControl/>
        <w:rPr>
          <w:sz w:val="26"/>
          <w:szCs w:val="26"/>
        </w:rPr>
      </w:pPr>
      <w:r>
        <w:rPr>
          <w:sz w:val="26"/>
          <w:szCs w:val="26"/>
        </w:rPr>
        <w:t>Charles A. Moore, Esq., Steve Stojic, Esq., Frank X. Kelly, Esq., Robin M. Nuschler, Esq., J. Gregory Porter, Esq., Drew J. Fossum, Esq., on behalf of Transwestern Pipeline Company</w:t>
      </w:r>
    </w:p>
    <w:p>
      <w:pPr>
        <w:pStyle w:val="Normal"/>
        <w:widowControl/>
        <w:ind w:firstLine="7920" w:end="0"/>
        <w:rPr>
          <w:sz w:val="26"/>
          <w:szCs w:val="26"/>
        </w:rPr>
      </w:pPr>
      <w:r>
        <w:rPr>
          <w:sz w:val="26"/>
          <w:szCs w:val="26"/>
        </w:rPr>
      </w:r>
    </w:p>
    <w:p>
      <w:pPr>
        <w:pStyle w:val="Normal"/>
        <w:widowControl/>
        <w:rPr>
          <w:sz w:val="26"/>
          <w:szCs w:val="26"/>
        </w:rPr>
      </w:pPr>
      <w:r>
        <w:rPr>
          <w:sz w:val="26"/>
          <w:szCs w:val="26"/>
        </w:rPr>
        <w:t>Douglas J. Beresford, Esq., Kevin J. Lipson, Esq., J. Patrick Nevans, Esq., Steven E. Picket, Esq., Douglas Kent Corder, Esq., Gabe Sterling, Esq., on behalf of Southern California Edison Company</w:t>
      </w:r>
    </w:p>
    <w:p>
      <w:pPr>
        <w:pStyle w:val="Normal"/>
        <w:widowControl/>
        <w:rPr>
          <w:sz w:val="26"/>
          <w:szCs w:val="26"/>
        </w:rPr>
      </w:pPr>
      <w:r>
        <w:rPr>
          <w:sz w:val="26"/>
          <w:szCs w:val="26"/>
        </w:rPr>
      </w:r>
    </w:p>
    <w:p>
      <w:pPr>
        <w:pStyle w:val="Normal"/>
        <w:widowControl/>
        <w:rPr>
          <w:sz w:val="26"/>
          <w:szCs w:val="26"/>
        </w:rPr>
      </w:pPr>
      <w:r>
        <w:rPr>
          <w:sz w:val="26"/>
          <w:szCs w:val="26"/>
        </w:rPr>
        <w:t>Gordon J. Smith, Esq., on behalf of Duke Energy Trading &amp; Marketing, LLC</w:t>
      </w:r>
    </w:p>
    <w:p>
      <w:pPr>
        <w:pStyle w:val="Normal"/>
        <w:widowControl/>
        <w:rPr>
          <w:sz w:val="26"/>
          <w:szCs w:val="26"/>
        </w:rPr>
      </w:pPr>
      <w:r>
        <w:rPr>
          <w:sz w:val="26"/>
          <w:szCs w:val="26"/>
        </w:rPr>
      </w:r>
    </w:p>
    <w:p>
      <w:pPr>
        <w:pStyle w:val="Normal"/>
        <w:widowControl/>
        <w:rPr>
          <w:sz w:val="26"/>
          <w:szCs w:val="26"/>
        </w:rPr>
      </w:pPr>
      <w:r>
        <w:rPr>
          <w:sz w:val="26"/>
          <w:szCs w:val="26"/>
        </w:rPr>
        <w:t>Katherine B. Edwards, Esq., John Paul Floom, Esq., on behalf of Indicated Shippers</w:t>
      </w:r>
    </w:p>
    <w:p>
      <w:pPr>
        <w:pStyle w:val="Normal"/>
        <w:widowControl/>
        <w:rPr>
          <w:sz w:val="26"/>
          <w:szCs w:val="26"/>
        </w:rPr>
      </w:pPr>
      <w:r>
        <w:rPr>
          <w:sz w:val="26"/>
          <w:szCs w:val="26"/>
        </w:rPr>
      </w:r>
    </w:p>
    <w:p>
      <w:pPr>
        <w:pStyle w:val="Normal"/>
        <w:widowControl/>
        <w:rPr>
          <w:sz w:val="26"/>
          <w:szCs w:val="26"/>
        </w:rPr>
      </w:pPr>
      <w:r>
        <w:rPr>
          <w:sz w:val="26"/>
          <w:szCs w:val="26"/>
        </w:rPr>
        <w:t>Ida M. Passmonti, Esq., on behalf of Public Utilities Commission of California</w:t>
      </w:r>
    </w:p>
    <w:p>
      <w:pPr>
        <w:pStyle w:val="Normal"/>
        <w:widowControl/>
        <w:rPr>
          <w:sz w:val="26"/>
          <w:szCs w:val="26"/>
        </w:rPr>
      </w:pPr>
      <w:r>
        <w:rPr>
          <w:sz w:val="26"/>
          <w:szCs w:val="26"/>
        </w:rPr>
      </w:r>
    </w:p>
    <w:p>
      <w:pPr>
        <w:pStyle w:val="Normal"/>
        <w:widowControl/>
        <w:rPr>
          <w:sz w:val="26"/>
          <w:szCs w:val="26"/>
        </w:rPr>
      </w:pPr>
      <w:r>
        <w:rPr>
          <w:sz w:val="26"/>
          <w:szCs w:val="26"/>
        </w:rPr>
        <w:t>Paul B. Mohler, Esq., Joshua Bar-Lev, Esq., David W. Anderson, Esq., Frank R. Lindh, Esq., on behalf of Pacific Gas and Electric Company</w:t>
      </w:r>
    </w:p>
    <w:p>
      <w:pPr>
        <w:pStyle w:val="Normal"/>
        <w:widowControl/>
        <w:rPr>
          <w:sz w:val="26"/>
          <w:szCs w:val="26"/>
        </w:rPr>
      </w:pPr>
      <w:r>
        <w:rPr>
          <w:sz w:val="26"/>
          <w:szCs w:val="26"/>
        </w:rPr>
      </w:r>
    </w:p>
    <w:p>
      <w:pPr>
        <w:pStyle w:val="Normal"/>
        <w:widowControl/>
        <w:rPr>
          <w:sz w:val="26"/>
          <w:szCs w:val="26"/>
        </w:rPr>
      </w:pPr>
      <w:r>
        <w:rPr>
          <w:sz w:val="26"/>
          <w:szCs w:val="26"/>
        </w:rPr>
        <w:t>M. Lisanne Crowley, Esq., Stuart F. Pearson, Esq., Diego A. Gomez, Esq., on behalf of Sempra Energy Trading Corporation</w:t>
      </w:r>
    </w:p>
    <w:p>
      <w:pPr>
        <w:pStyle w:val="Normal"/>
        <w:widowControl/>
        <w:rPr>
          <w:sz w:val="26"/>
          <w:szCs w:val="26"/>
        </w:rPr>
      </w:pPr>
      <w:r>
        <w:rPr>
          <w:sz w:val="26"/>
          <w:szCs w:val="26"/>
        </w:rPr>
      </w:r>
    </w:p>
    <w:p>
      <w:pPr>
        <w:pStyle w:val="Normal"/>
        <w:widowControl/>
        <w:rPr>
          <w:sz w:val="26"/>
          <w:szCs w:val="26"/>
        </w:rPr>
      </w:pPr>
      <w:r>
        <w:rPr>
          <w:sz w:val="26"/>
          <w:szCs w:val="26"/>
        </w:rPr>
        <w:t>Helen M. Hight, Esq., on behalf of Duke Energy</w:t>
      </w:r>
    </w:p>
    <w:p>
      <w:pPr>
        <w:pStyle w:val="Normal"/>
        <w:widowControl/>
        <w:rPr>
          <w:sz w:val="26"/>
          <w:szCs w:val="26"/>
        </w:rPr>
      </w:pPr>
      <w:r>
        <w:rPr>
          <w:sz w:val="26"/>
          <w:szCs w:val="26"/>
        </w:rPr>
      </w:r>
    </w:p>
    <w:p>
      <w:pPr>
        <w:pStyle w:val="Normal"/>
        <w:widowControl/>
        <w:rPr>
          <w:sz w:val="26"/>
          <w:szCs w:val="26"/>
        </w:rPr>
      </w:pPr>
      <w:r>
        <w:rPr>
          <w:sz w:val="26"/>
          <w:szCs w:val="26"/>
        </w:rPr>
        <w:t>Thomas J. Burgess, Esq., Michael D. Cotleur, Esq., on behalf of 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b/>
          <w:bCs/>
          <w:sz w:val="26"/>
          <w:szCs w:val="26"/>
        </w:rPr>
      </w:pPr>
      <w:r>
        <w:rPr>
          <w:b/>
          <w:bCs/>
          <w:sz w:val="26"/>
          <w:szCs w:val="26"/>
        </w:rPr>
        <w:t>Jacob Leventhal, Presiding Administrative Law Judge</w:t>
      </w:r>
    </w:p>
    <w:p>
      <w:pPr>
        <w:pStyle w:val="Normal"/>
        <w:widowControl/>
        <w:rPr>
          <w:b/>
          <w:bCs/>
          <w:sz w:val="26"/>
          <w:szCs w:val="26"/>
        </w:rPr>
      </w:pPr>
      <w:r>
        <w:rPr>
          <w:b/>
          <w:bCs/>
          <w:sz w:val="26"/>
          <w:szCs w:val="26"/>
        </w:rPr>
      </w:r>
    </w:p>
    <w:p>
      <w:pPr>
        <w:pStyle w:val="Normal"/>
        <w:widowControl/>
        <w:rPr>
          <w:sz w:val="26"/>
          <w:szCs w:val="26"/>
        </w:rPr>
      </w:pPr>
      <w:r>
        <w:rPr>
          <w:sz w:val="26"/>
          <w:szCs w:val="26"/>
        </w:rPr>
      </w:r>
    </w:p>
    <w:p>
      <w:pPr>
        <w:pStyle w:val="Normal"/>
        <w:widowControl/>
        <w:rPr>
          <w:b/>
          <w:bCs/>
          <w:sz w:val="24"/>
        </w:rPr>
      </w:pPr>
      <w:r>
        <w:rPr>
          <w:b/>
          <w:bCs/>
          <w:sz w:val="26"/>
          <w:szCs w:val="26"/>
        </w:rPr>
        <w:t xml:space="preserve">JOINT STATEMENT OF PROCEDURAL HISTORY </w:t>
      </w:r>
      <w:r>
        <w:rPr>
          <w:rStyle w:val="FootnoteCharacters"/>
          <w:rStyle w:val="FootnoteReference"/>
          <w:b/>
          <w:bCs/>
          <w:sz w:val="26"/>
          <w:szCs w:val="26"/>
          <w:vertAlign w:val="superscript"/>
        </w:rPr>
        <w:footnoteReference w:id="2"/>
      </w:r>
    </w:p>
    <w:p>
      <w:pPr>
        <w:pStyle w:val="Normal"/>
        <w:widowControl/>
        <w:rPr>
          <w:b/>
          <w:bCs/>
          <w:sz w:val="24"/>
        </w:rPr>
      </w:pPr>
      <w:r>
        <w:rPr>
          <w:b/>
          <w:bCs/>
          <w:sz w:val="24"/>
        </w:rPr>
      </w:r>
    </w:p>
    <w:p>
      <w:pPr>
        <w:pStyle w:val="Normal"/>
        <w:widowControl/>
        <w:ind w:firstLine="720" w:end="0"/>
        <w:rPr/>
      </w:pPr>
      <w:r>
        <w:rPr>
          <w:sz w:val="26"/>
          <w:szCs w:val="26"/>
        </w:rPr>
        <w:t>By orders issued March 2, 2001,</w:t>
      </w:r>
      <w:r>
        <w:rPr>
          <w:rStyle w:val="FootnoteCharacters"/>
          <w:rStyle w:val="FootnoteReference"/>
          <w:sz w:val="26"/>
          <w:szCs w:val="26"/>
          <w:vertAlign w:val="superscript"/>
        </w:rPr>
        <w:footnoteReference w:id="3"/>
      </w:r>
      <w:r>
        <w:rPr>
          <w:sz w:val="26"/>
          <w:szCs w:val="26"/>
        </w:rPr>
        <w:t xml:space="preserve"> March 28, 2001</w:t>
      </w:r>
      <w:r>
        <w:rPr>
          <w:rStyle w:val="FootnoteCharacters"/>
          <w:rStyle w:val="FootnoteReference"/>
          <w:sz w:val="26"/>
          <w:szCs w:val="26"/>
          <w:vertAlign w:val="superscript"/>
        </w:rPr>
        <w:footnoteReference w:id="4"/>
      </w:r>
      <w:r>
        <w:rPr>
          <w:sz w:val="26"/>
          <w:szCs w:val="26"/>
        </w:rPr>
        <w:t xml:space="preserve"> and April 27, 2001</w:t>
      </w:r>
      <w:r>
        <w:rPr>
          <w:rStyle w:val="FootnoteCharacters"/>
          <w:rStyle w:val="FootnoteReference"/>
          <w:sz w:val="26"/>
          <w:szCs w:val="26"/>
          <w:vertAlign w:val="superscript"/>
        </w:rPr>
        <w:footnoteReference w:id="5"/>
      </w:r>
      <w:r>
        <w:rPr>
          <w:sz w:val="26"/>
          <w:szCs w:val="26"/>
        </w:rPr>
        <w:t xml:space="preserve"> in the captioned dockets, the Commission accepted, subject to further proceedings, several negotiated rate transactions entered into between Transwestern Pipeline Company ("Transwestern”) and the following five shippers:  (1) Richardson Products Company (“Richardson”); (2) Sempra Energy Trading Corp., (“SET”); (3) BP Energy Company (“BP”); (4) Astra Power, L.L.C. (“Astra”); and (5) Reliant Energy Services (“Reliant”).  The Commission sought additional information on certain of the transactions through data requests served on Transwestern, Richardson, and SET.  By order issued July 26, 2001, the Commission established hearing procedures “...to further explore the issues raised by Transwestern’s negotiated rate filings.”</w:t>
      </w:r>
      <w:r>
        <w:rPr>
          <w:rStyle w:val="FootnoteCharacters"/>
          <w:rStyle w:val="FootnoteReference"/>
          <w:sz w:val="26"/>
          <w:szCs w:val="26"/>
          <w:vertAlign w:val="superscript"/>
        </w:rPr>
        <w:footnoteReference w:id="6"/>
      </w:r>
      <w:r>
        <w:rPr>
          <w:sz w:val="26"/>
          <w:szCs w:val="26"/>
        </w:rPr>
        <w:t xml:space="preserve">  Specifically, the Commission directed its Chief Administrative Law Judge to designate a Presiding Administrative Law Judge to convene a prehearing conference within 10 days of the order “...for the purpose of clarification of the positions of the participants and establishment by the presiding judge of any procedural dates necessary for the hearing and issuance of an initial decision within 60 days of the issuance of this order.”</w:t>
      </w:r>
      <w:r>
        <w:rPr>
          <w:rStyle w:val="FootnoteCharacters"/>
          <w:rStyle w:val="FootnoteReference"/>
          <w:sz w:val="26"/>
          <w:szCs w:val="26"/>
          <w:vertAlign w:val="superscript"/>
        </w:rPr>
        <w:footnoteReference w:id="7"/>
      </w:r>
      <w:r>
        <w:rPr>
          <w:sz w:val="26"/>
          <w:szCs w:val="26"/>
        </w:rPr>
        <w:t xml:space="preserve">  </w:t>
      </w:r>
    </w:p>
    <w:p>
      <w:pPr>
        <w:pStyle w:val="Normal"/>
        <w:widowControl/>
        <w:ind w:firstLine="720" w:end="0"/>
        <w:rPr>
          <w:sz w:val="26"/>
          <w:szCs w:val="26"/>
        </w:rPr>
      </w:pPr>
      <w:r>
        <w:rPr>
          <w:sz w:val="26"/>
          <w:szCs w:val="26"/>
        </w:rPr>
      </w:r>
    </w:p>
    <w:p>
      <w:pPr>
        <w:pStyle w:val="Normal"/>
        <w:widowControl/>
        <w:ind w:firstLine="720" w:end="0"/>
        <w:rPr/>
      </w:pPr>
      <w:r>
        <w:rPr>
          <w:sz w:val="26"/>
          <w:szCs w:val="26"/>
        </w:rPr>
        <w:t>In addition, pending the outcome of the hearing, the Commission directed Transwestern to revise both its tariff and its Internet web site postings to provide for specific identification of operational capacity or other capacity that may be available only for periods of less than one month.  By Order issued on  October 2, 2001, the Chief Judge extended the Initial Decision deadline date to October 30, 2001, the date to file briefs on exceptions and opposing exceptions to run from the Initial Decision date, and to take measures to address concerns regarding the period for which operational capacity is awarded on its system.</w:t>
      </w:r>
      <w:r>
        <w:rPr>
          <w:rStyle w:val="FootnoteCharacters"/>
          <w:rStyle w:val="FootnoteReference"/>
          <w:sz w:val="26"/>
          <w:szCs w:val="26"/>
          <w:vertAlign w:val="superscript"/>
        </w:rPr>
        <w:footnoteReference w:id="8"/>
      </w:r>
      <w:r>
        <w:rPr>
          <w:sz w:val="26"/>
          <w:szCs w:val="26"/>
        </w:rPr>
        <w:t xml:space="preserve">  Transwestern filed to comply with the Commission’s directives on August 10, 2001.  This filing was docketed as Docket No. RP01-507-000.  It is the subject of a protest by the Indicated Shippers and is pending Commission action in that docket.</w:t>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 xml:space="preserve">In response to the Commission’s July 26, 2001, order establishing hearing procedures, the Chief Administrative Law Judge assigned The Honorable Jacob Leventhal to preside over the hearing directed by the Commission in the order.  Judge Leventhal convened a prehearing conference on August 6, 2001.  At that time, Judge Leventhal granted motions for late intervention sought by the Public Utilities Commission of California (“CPUC”), SET, and Southern California Edison Company (“Edison”), and established a procedural schedule that provided for an August 27, 2001, hearing.  This hearing date was agreed upon in recognition that the parties requested the Presiding Judge to seek a three week extension of the initial decision deadline set forth in the Commission’s July 26, 2001, order.  By order issued August 7, 2001, the Chief Administrative Law Judge granted the three week extension in the initial decision deadline to October 15, 2001. </w:t>
      </w:r>
    </w:p>
    <w:p>
      <w:pPr>
        <w:pStyle w:val="Normal"/>
        <w:widowControl/>
        <w:ind w:firstLine="720" w:start="-90" w:end="0"/>
        <w:rPr>
          <w:sz w:val="26"/>
          <w:szCs w:val="26"/>
        </w:rPr>
      </w:pPr>
      <w:r>
        <w:rPr>
          <w:sz w:val="26"/>
          <w:szCs w:val="26"/>
        </w:rPr>
      </w:r>
    </w:p>
    <w:p>
      <w:pPr>
        <w:pStyle w:val="Normal"/>
        <w:widowControl/>
        <w:ind w:firstLine="720" w:start="-90" w:end="0"/>
        <w:rPr>
          <w:sz w:val="26"/>
          <w:szCs w:val="26"/>
        </w:rPr>
      </w:pPr>
      <w:r>
        <w:rPr>
          <w:sz w:val="26"/>
          <w:szCs w:val="26"/>
        </w:rPr>
        <w:t xml:space="preserve">On August 9, 2001, Edison filed a motion to extend the procedural schedule by ninety days from the original sixty days established by the Commission.  On August 10, 2001, the motion was denied by Presiding Judge Leventhal.  On August 14, 2001, the Indicated Shippers requested a modification to the procedural schedule:  permitting one additional day for the submission of data requests by Staff and Intervenors.  This motion was granted on August 15, 2001, by the Presiding Judge.  On August 17, 2001, Edison requested a modification to the procedural schedule, permitting one additional day for the filing of direct testimony by Staff and Intervenors.  Transwestern did not oppose Edison’s motion on the condition that all dates on the procedural schedule be similarly modified by one day.  Edison’s motion, with the condition requested by Transwestern, was granted by the order issued on August 20, 2001.  Pursuant to the schedule, as modified in these orders, the hearing commenced August 29, 2001, and continued into the morning of August 30, 2001.  All witnesses who sponsored pre-filed testimony in the case were tendered for cross examination:  Ms. Mary Kay Miller, Mr. Steven Harris, and Ms. T.K. Lohman for Transwestern;  Ms. Penny Barry for BP/Amoco of the Indicated Shippers;  and Mr. Barry Sullivan for the Commission Trial Staff.  In addition, the Commission Trial Staff called Ms. Stefanie Katz (Vice President of SET) to the stand for questioning.  SET did not file testimony in the case. </w:t>
      </w:r>
    </w:p>
    <w:p>
      <w:pPr>
        <w:pStyle w:val="Normal"/>
        <w:ind w:firstLine="720" w:start="-90" w:end="0"/>
        <w:rPr>
          <w:sz w:val="26"/>
          <w:szCs w:val="26"/>
        </w:rPr>
      </w:pPr>
      <w:r>
        <w:rPr>
          <w:sz w:val="26"/>
          <w:szCs w:val="26"/>
        </w:rPr>
      </w:r>
    </w:p>
    <w:p>
      <w:pPr>
        <w:pStyle w:val="Normal"/>
        <w:ind w:firstLine="720" w:start="-90" w:end="0"/>
        <w:rPr>
          <w:sz w:val="26"/>
          <w:szCs w:val="26"/>
          <w:highlight w:val="yellow"/>
        </w:rPr>
      </w:pPr>
      <w:r>
        <w:rPr>
          <w:sz w:val="26"/>
          <w:szCs w:val="26"/>
        </w:rPr>
        <w:t xml:space="preserve">Initial briefs were due September 6, 2001.  Reply briefs were due September 11, 2001.  In accordance with Judge Leventhal’s instructions, all arguments on brief are to track, by number and caption, </w:t>
      </w:r>
      <w:r>
        <w:rPr>
          <w:sz w:val="26"/>
          <w:szCs w:val="26"/>
          <w:highlight w:val="yellow"/>
        </w:rPr>
        <w:t>the four issues identified by the participants in the Joint Statement of Issues in the case:</w:t>
      </w:r>
      <w:r>
        <w:rPr>
          <w:rStyle w:val="FootnoteCharacters"/>
          <w:rStyle w:val="FootnoteReference"/>
          <w:sz w:val="26"/>
          <w:szCs w:val="26"/>
          <w:highlight w:val="yellow"/>
          <w:vertAlign w:val="superscript"/>
        </w:rPr>
        <w:footnoteReference w:id="9"/>
      </w:r>
    </w:p>
    <w:p>
      <w:pPr>
        <w:pStyle w:val="Normal"/>
        <w:widowControl/>
        <w:tabs>
          <w:tab w:val="clear" w:pos="720"/>
          <w:tab w:val="left" w:pos="27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s>
        <w:ind w:hanging="360" w:start="270" w:end="720"/>
        <w:rPr>
          <w:sz w:val="26"/>
          <w:szCs w:val="26"/>
          <w:highlight w:val="yellow"/>
        </w:rPr>
      </w:pPr>
      <w:r>
        <w:rPr>
          <w:sz w:val="26"/>
          <w:szCs w:val="26"/>
          <w:highlight w:val="yellow"/>
        </w:rPr>
      </w:r>
    </w:p>
    <w:p>
      <w:pPr>
        <w:pStyle w:val="Normal"/>
        <w:widowContro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720"/>
        <w:rPr/>
      </w:pPr>
      <w:r>
        <w:rPr>
          <w:sz w:val="26"/>
          <w:szCs w:val="26"/>
          <w:highlight w:val="yellow"/>
        </w:rPr>
        <w:fldChar w:fldCharType="begin"/>
      </w:r>
      <w:r>
        <w:rPr>
          <w:sz w:val="26"/>
          <w:szCs w:val="26"/>
          <w:highlight w:val="yellow"/>
        </w:rPr>
        <w:instrText xml:space="preserve"> SEQ 1_0 \* ARABIC </w:instrText>
      </w:r>
      <w:r>
        <w:rPr>
          <w:sz w:val="26"/>
          <w:szCs w:val="26"/>
          <w:highlight w:val="yellow"/>
        </w:rPr>
        <w:fldChar w:fldCharType="separate"/>
      </w:r>
      <w:r>
        <w:rPr>
          <w:sz w:val="26"/>
          <w:szCs w:val="26"/>
          <w:highlight w:val="yellow"/>
        </w:rPr>
        <w:t>1</w:t>
      </w:r>
      <w:r>
        <w:rPr>
          <w:sz w:val="26"/>
          <w:szCs w:val="26"/>
          <w:highlight w:val="yellow"/>
        </w:rPr>
        <w:fldChar w:fldCharType="end"/>
      </w:r>
      <w:r>
        <w:rPr>
          <w:sz w:val="26"/>
          <w:szCs w:val="26"/>
          <w:highlight w:val="yellow"/>
        </w:rPr>
        <w:t>.</w:t>
        <w:tab/>
        <w:t>Was the transportation capacity at issue advertised and awarded in an accurate and fair manner consistent with Transwestern’s tariff?</w:t>
      </w:r>
    </w:p>
    <w:p>
      <w:pPr>
        <w:pStyle w:val="Normal"/>
        <w:widowContro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720"/>
        <w:rPr/>
      </w:pPr>
      <w:r>
        <w:rPr>
          <w:sz w:val="26"/>
          <w:szCs w:val="26"/>
          <w:highlight w:val="yellow"/>
        </w:rPr>
        <w:fldChar w:fldCharType="begin"/>
      </w:r>
      <w:r>
        <w:rPr>
          <w:sz w:val="26"/>
          <w:szCs w:val="26"/>
          <w:highlight w:val="yellow"/>
        </w:rPr>
        <w:instrText xml:space="preserve"> SEQ 1_0 \* ARABIC </w:instrText>
      </w:r>
      <w:r>
        <w:rPr>
          <w:sz w:val="26"/>
          <w:szCs w:val="26"/>
          <w:highlight w:val="yellow"/>
        </w:rPr>
        <w:fldChar w:fldCharType="separate"/>
      </w:r>
      <w:r>
        <w:rPr>
          <w:sz w:val="26"/>
          <w:szCs w:val="26"/>
          <w:highlight w:val="yellow"/>
        </w:rPr>
        <w:t>2</w:t>
      </w:r>
      <w:r>
        <w:rPr>
          <w:sz w:val="26"/>
          <w:szCs w:val="26"/>
          <w:highlight w:val="yellow"/>
        </w:rPr>
        <w:fldChar w:fldCharType="end"/>
      </w:r>
      <w:r>
        <w:rPr>
          <w:sz w:val="26"/>
          <w:szCs w:val="26"/>
          <w:highlight w:val="yellow"/>
        </w:rPr>
        <w:t>.</w:t>
        <w:tab/>
        <w:t>Were the transportation rates negotiated by Transwestern with the shippers the product of an exercise of market power (i.e., did Transwestern withhold capacity that otherwise could have been made available under recourse service in order to make the capacity available under the negotiated rate charges at substantially higher rates)?</w:t>
      </w:r>
    </w:p>
    <w:p>
      <w:pPr>
        <w:pStyle w:val="Normal"/>
        <w:widowContro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720"/>
        <w:rPr/>
      </w:pPr>
      <w:r>
        <w:rPr>
          <w:sz w:val="26"/>
          <w:szCs w:val="26"/>
          <w:highlight w:val="yellow"/>
        </w:rPr>
        <w:fldChar w:fldCharType="begin"/>
      </w:r>
      <w:r>
        <w:rPr>
          <w:sz w:val="26"/>
          <w:szCs w:val="26"/>
          <w:highlight w:val="yellow"/>
        </w:rPr>
        <w:instrText xml:space="preserve"> SEQ 1_0 \* ARABIC </w:instrText>
      </w:r>
      <w:r>
        <w:rPr>
          <w:sz w:val="26"/>
          <w:szCs w:val="26"/>
          <w:highlight w:val="yellow"/>
        </w:rPr>
        <w:fldChar w:fldCharType="separate"/>
      </w:r>
      <w:r>
        <w:rPr>
          <w:sz w:val="26"/>
          <w:szCs w:val="26"/>
          <w:highlight w:val="yellow"/>
        </w:rPr>
        <w:t>3</w:t>
      </w:r>
      <w:r>
        <w:rPr>
          <w:sz w:val="26"/>
          <w:szCs w:val="26"/>
          <w:highlight w:val="yellow"/>
        </w:rPr>
        <w:fldChar w:fldCharType="end"/>
      </w:r>
      <w:r>
        <w:rPr>
          <w:sz w:val="26"/>
          <w:szCs w:val="26"/>
          <w:highlight w:val="yellow"/>
        </w:rPr>
        <w:t>.</w:t>
        <w:tab/>
        <w:t>Why did the shippers agree to these rates when significantly lower recourse rates should have been made available under the negotiated rate program?  and</w:t>
      </w:r>
    </w:p>
    <w:p>
      <w:pPr>
        <w:pStyle w:val="Normal"/>
        <w:widowContro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720"/>
        <w:rPr>
          <w:sz w:val="26"/>
          <w:szCs w:val="26"/>
        </w:rPr>
      </w:pPr>
      <w:r>
        <w:rPr>
          <w:sz w:val="26"/>
          <w:szCs w:val="26"/>
          <w:highlight w:val="yellow"/>
        </w:rPr>
        <w:fldChar w:fldCharType="begin"/>
      </w:r>
      <w:r>
        <w:rPr>
          <w:sz w:val="26"/>
          <w:szCs w:val="26"/>
          <w:highlight w:val="yellow"/>
        </w:rPr>
        <w:instrText xml:space="preserve"> SEQ 1_0 \* ARABIC </w:instrText>
      </w:r>
      <w:r>
        <w:rPr>
          <w:sz w:val="26"/>
          <w:szCs w:val="26"/>
          <w:highlight w:val="yellow"/>
        </w:rPr>
        <w:fldChar w:fldCharType="separate"/>
      </w:r>
      <w:r>
        <w:rPr>
          <w:sz w:val="26"/>
          <w:szCs w:val="26"/>
          <w:highlight w:val="yellow"/>
        </w:rPr>
        <w:t>4</w:t>
      </w:r>
      <w:r>
        <w:rPr>
          <w:sz w:val="26"/>
          <w:szCs w:val="26"/>
          <w:highlight w:val="yellow"/>
        </w:rPr>
        <w:fldChar w:fldCharType="end"/>
      </w:r>
      <w:r>
        <w:rPr>
          <w:sz w:val="26"/>
          <w:szCs w:val="26"/>
          <w:highlight w:val="yellow"/>
        </w:rPr>
        <w:t>.</w:t>
        <w:tab/>
        <w:t>Was the awarded capacity available without interruption, while firm transportation service under Transwestern’s recourse rates was not?  If so, why?</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pPr>
      <w:r>
        <w:rPr>
          <w:rFonts w:cs="Palatino" w:ascii="Palatino" w:hAnsi="Palatino"/>
          <w:sz w:val="26"/>
          <w:szCs w:val="26"/>
        </w:rPr>
        <w:t>By Order issued on  October 2, 2001, the Chief Judge extended the Initial Decision deadline date to October 30, 2001 and the date to file briefs on exceptions and opposing exceptions to run from the Initial Decision date.</w:t>
      </w:r>
      <w:r>
        <w:rPr>
          <w:sz w:val="26"/>
          <w:szCs w:val="26"/>
        </w:rPr>
        <w:t xml:space="preserve">  Staff filed a Motion to Strike Portions of the Transwestern Brief.  At an Oral Argument held on September 28, 2001, the motion was granted in part and denied in part.  An Order confirming the rulings made was issued on October 3, 2001.</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center" w:pos="4725" w:leader="none"/>
          <w:tab w:val="left" w:pos="5400" w:leader="none"/>
          <w:tab w:val="left" w:pos="6120" w:leader="none"/>
          <w:tab w:val="left" w:pos="6840" w:leader="none"/>
          <w:tab w:val="left" w:pos="7560" w:leader="none"/>
          <w:tab w:val="left" w:pos="8280" w:leader="none"/>
        </w:tabs>
        <w:ind w:end="720"/>
        <w:rPr/>
      </w:pPr>
      <w:r>
        <w:rPr>
          <w:sz w:val="26"/>
          <w:szCs w:val="26"/>
        </w:rPr>
        <w:tab/>
      </w:r>
      <w:r>
        <w:rPr>
          <w:b/>
          <w:bCs/>
          <w:sz w:val="26"/>
          <w:szCs w:val="26"/>
        </w:rPr>
        <w:t>Introduction</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b/>
          <w:bCs/>
          <w:sz w:val="26"/>
          <w:szCs w:val="26"/>
        </w:rPr>
      </w:pPr>
      <w:r>
        <w:rPr>
          <w:b/>
          <w:bCs/>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The record of this proceeding consists of four volumes with 278 pages of transcript of the prehearing conference and the hearing held in this proceeding with 46 exhibits and two Items by Reference.  Initial Briefs were filed on September 6, 2001, by the following:</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720"/>
        <w:rPr>
          <w:sz w:val="26"/>
          <w:szCs w:val="26"/>
        </w:rPr>
      </w:pPr>
      <w:r>
        <w:rPr>
          <w:sz w:val="26"/>
          <w:szCs w:val="26"/>
        </w:rPr>
        <w:t>1.</w:t>
        <w:tab/>
        <w:t>Transwestern;</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720"/>
        <w:rPr>
          <w:sz w:val="26"/>
          <w:szCs w:val="26"/>
        </w:rPr>
      </w:pPr>
      <w:r>
        <w:rPr>
          <w:sz w:val="26"/>
          <w:szCs w:val="26"/>
        </w:rPr>
        <w:t xml:space="preserve">2 </w:t>
        <w:tab/>
        <w:t xml:space="preserve">Amoco Production Company and BP Energy Company (jointly "BP") and Burlington Resources Oil and Gas Company LP and Conoco, Inc. (jointly "Indicated Shippers");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720"/>
        <w:rPr>
          <w:sz w:val="26"/>
          <w:szCs w:val="26"/>
        </w:rPr>
      </w:pPr>
      <w:r>
        <w:rPr>
          <w:sz w:val="26"/>
          <w:szCs w:val="26"/>
        </w:rPr>
        <w:t>3.</w:t>
        <w:tab/>
        <w:t xml:space="preserve">Edison;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720"/>
        <w:rPr>
          <w:sz w:val="26"/>
          <w:szCs w:val="26"/>
        </w:rPr>
      </w:pPr>
      <w:r>
        <w:rPr>
          <w:sz w:val="26"/>
          <w:szCs w:val="26"/>
        </w:rPr>
        <w:t>4.</w:t>
        <w:tab/>
        <w:t>CPUC; and</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720"/>
        <w:rPr>
          <w:sz w:val="26"/>
          <w:szCs w:val="26"/>
        </w:rPr>
      </w:pPr>
      <w:r>
        <w:rPr>
          <w:sz w:val="26"/>
          <w:szCs w:val="26"/>
        </w:rPr>
        <w:t>5.</w:t>
        <w:tab/>
        <w:t>Staff.</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The date to file Reply Briefs, which were due on September 11, 2001, was extended to September 12, 2001, because of the untoward events of September 11. The same participants filed Reply Briefs.   Accompanying the Transwestern Reply Brief was a motion to waive the 50 page limit on Reply Briefs to allow Transwestern to file a 71 page brief.  Transwestern stated  that it needed the additional 21 pages in order respond to five Initial Briefs.  An Order setting the time to respond to the motion as September 19, 2001.  The motion was granted by an order issued September 20, 2001.</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pPr>
      <w:r>
        <w:rPr>
          <w:sz w:val="26"/>
          <w:szCs w:val="26"/>
        </w:rPr>
        <w:t>Edison, although an active party in this proceeding, did not file affirmative evidence. Instead Edison filed a Statement in Lieu of Prepared Direct Testimony.</w:t>
      </w:r>
      <w:r>
        <w:rPr>
          <w:rStyle w:val="FootnoteCharacters"/>
          <w:rStyle w:val="FootnoteReference"/>
          <w:sz w:val="26"/>
          <w:szCs w:val="26"/>
          <w:vertAlign w:val="superscript"/>
        </w:rPr>
        <w:footnoteReference w:id="10"/>
      </w:r>
      <w:r>
        <w:rPr>
          <w:sz w:val="26"/>
          <w:szCs w:val="26"/>
        </w:rPr>
        <w:t xml:space="preserve">  Edison stated that because of the expedited schedule set for this proceeding, full ventilation of the complex issues in this proceeding was not possible.  Edison claimed that it was not able to conduct sufficient discovery and was not afforded sufficient time within which to fully evaluate the data produced in discovery.  Edison I.B. at 3.   The Commission set eight negotiated transactions for hearing.   However, the issues raised are limited to four of the eight contracts:</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5040" w:start="5400" w:end="1080"/>
        <w:rPr>
          <w:sz w:val="26"/>
          <w:szCs w:val="26"/>
        </w:rPr>
      </w:pPr>
      <w:r>
        <w:rPr>
          <w:sz w:val="26"/>
          <w:szCs w:val="26"/>
        </w:rPr>
        <w:t>Sub-</w:t>
        <w:tab/>
        <w:tab/>
        <w:t>Firm Capacity</w:t>
        <w:tab/>
        <w:t>Shipper</w:t>
        <w:tab/>
        <w:tab/>
        <w:t>Maximum Rollover</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1440" w:start="1800" w:end="720"/>
        <w:rPr>
          <w:sz w:val="26"/>
          <w:szCs w:val="26"/>
        </w:rPr>
      </w:pPr>
      <w:r>
        <w:rPr>
          <w:sz w:val="26"/>
          <w:szCs w:val="26"/>
        </w:rPr>
        <w:t xml:space="preserve">Docket </w:t>
        <w:tab/>
        <w:t xml:space="preserve">Maximum Daily                              </w:t>
        <w:tab/>
        <w:t xml:space="preserve">Period of Contract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1800" w:start="1800" w:end="720"/>
        <w:rPr/>
      </w:pPr>
      <w:r>
        <w:rPr>
          <w:sz w:val="26"/>
          <w:szCs w:val="26"/>
        </w:rPr>
        <w:t xml:space="preserve"> </w:t>
      </w:r>
      <w:r>
        <w:rPr>
          <w:b/>
          <w:bCs/>
          <w:sz w:val="26"/>
          <w:szCs w:val="26"/>
        </w:rPr>
        <w:tab/>
      </w:r>
      <w:r>
        <w:rPr>
          <w:sz w:val="26"/>
          <w:szCs w:val="26"/>
        </w:rPr>
        <w:t>Number</w:t>
        <w:tab/>
        <w:t>Capacity</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1800" w:end="720"/>
        <w:rPr>
          <w:sz w:val="26"/>
          <w:szCs w:val="26"/>
        </w:rPr>
      </w:pPr>
      <w:r>
        <w:rPr>
          <w:sz w:val="26"/>
          <w:szCs w:val="26"/>
        </w:rPr>
        <w:t>MMbtu/day</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______________________________________________________</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7200" w:start="7560" w:end="720"/>
        <w:rPr>
          <w:b/>
          <w:bCs/>
          <w:sz w:val="26"/>
          <w:szCs w:val="26"/>
        </w:rPr>
      </w:pPr>
      <w:r>
        <w:rPr>
          <w:sz w:val="26"/>
          <w:szCs w:val="26"/>
        </w:rPr>
        <w:t>009/011</w:t>
        <w:tab/>
        <w:t>15,000</w:t>
        <w:tab/>
        <w:tab/>
        <w:tab/>
        <w:t>Sempra</w:t>
        <w:tab/>
        <w:tab/>
        <w:t>February 28, 2001</w:t>
        <w:tab/>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5040" w:start="5400" w:end="720"/>
        <w:rPr>
          <w:sz w:val="26"/>
          <w:szCs w:val="26"/>
        </w:rPr>
      </w:pPr>
      <w:r>
        <w:rPr>
          <w:sz w:val="26"/>
          <w:szCs w:val="26"/>
        </w:rPr>
        <w:t>010/013</w:t>
        <w:tab/>
        <w:t>10, 000</w:t>
        <w:tab/>
        <w:tab/>
        <w:t>Richardson</w:t>
        <w:tab/>
        <w:tab/>
        <w:t>February 28, 2001</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2880" w:start="3240" w:end="720"/>
        <w:rPr>
          <w:sz w:val="26"/>
          <w:szCs w:val="26"/>
        </w:rPr>
      </w:pPr>
      <w:r>
        <w:rPr>
          <w:sz w:val="26"/>
          <w:szCs w:val="26"/>
        </w:rPr>
        <w:t>014</w:t>
        <w:tab/>
        <w:tab/>
        <w:t>10,000</w:t>
        <w:tab/>
        <w:tab/>
        <w:tab/>
        <w:t>Richardson</w:t>
        <w:tab/>
        <w:tab/>
        <w:t>March 31, 2001</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7200" w:start="7560" w:end="720"/>
        <w:rPr>
          <w:sz w:val="26"/>
          <w:szCs w:val="26"/>
        </w:rPr>
      </w:pPr>
      <w:r>
        <w:rPr>
          <w:sz w:val="26"/>
          <w:szCs w:val="26"/>
        </w:rPr>
        <w:t>014</w:t>
        <w:tab/>
        <w:tab/>
        <w:t>10,000</w:t>
        <w:tab/>
        <w:tab/>
        <w:tab/>
        <w:t>Sempra</w:t>
        <w:tab/>
        <w:tab/>
        <w:t>March 31, 2001</w:t>
        <w:tab/>
      </w:r>
      <w:r>
        <w:rPr>
          <w:rStyle w:val="FootnoteCharacters"/>
          <w:rStyle w:val="FootnoteReference"/>
          <w:sz w:val="26"/>
          <w:szCs w:val="26"/>
          <w:vertAlign w:val="superscript"/>
        </w:rPr>
        <w:footnoteReference w:id="11"/>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As noted above, the parties and Staff agreed upon a Joint Statement of Issues which are treated below </w:t>
      </w:r>
      <w:r>
        <w:rPr>
          <w:i/>
          <w:iCs/>
          <w:sz w:val="26"/>
          <w:szCs w:val="26"/>
        </w:rPr>
        <w:t>seriatim.</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b/>
          <w:bCs/>
          <w:sz w:val="26"/>
          <w:szCs w:val="26"/>
        </w:rPr>
      </w:pPr>
      <w:r>
        <w:rPr>
          <w:b/>
          <w:bCs/>
          <w:sz w:val="26"/>
          <w:szCs w:val="26"/>
        </w:rPr>
      </w:r>
    </w:p>
    <w:p>
      <w:pPr>
        <w:pStyle w:val="Normal"/>
        <w:keepNext w:val="true"/>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pPr>
      <w:r>
        <w:rPr>
          <w:b/>
          <w:bCs/>
          <w:sz w:val="26"/>
          <w:szCs w:val="26"/>
        </w:rPr>
        <w:t xml:space="preserve">Issue No. 1.  Was the Transportation Capacity at Issue Advertised and Awarded in an Accurate and Fair Manner Consistent with Transwestern's Tariff?  </w:t>
      </w:r>
      <w:r>
        <w:rPr>
          <w:sz w:val="26"/>
          <w:szCs w:val="26"/>
        </w:rPr>
        <w:tab/>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pPr>
      <w:r>
        <w:rPr>
          <w:sz w:val="26"/>
          <w:szCs w:val="26"/>
        </w:rPr>
        <w:t xml:space="preserve">This is a two pronged issue.  First is the question whether there was conformity with the provisions of Transwestern's tariff dealing with the posting and award of transportation capacity.  </w:t>
      </w:r>
      <w:r>
        <w:rPr>
          <w:sz w:val="26"/>
          <w:szCs w:val="26"/>
          <w:highlight w:val="yellow"/>
        </w:rPr>
        <w:t>There is no credible evidence that Transwestern did not post the capacity at issue in this proceeding in conformity with its tariff.</w:t>
      </w:r>
      <w:r>
        <w:rPr>
          <w:sz w:val="26"/>
          <w:szCs w:val="26"/>
        </w:rPr>
        <w:t xml:space="preserve">  Staff witness Sullivan found that "Transwestern appears to have posted the capacity on its web site for biding in accordance with its tariff..."   Ex. S-1 at 4.  BP/Amoco witness Barry when asked "Do you believe that Transwestern has violated its tariff" replied: "No, I do not.  But I believe Transwestern's capacity award practices, which are not stated in its tariff, are unjust, unreasonable and potentially discriminatory, and accordingly should be modified and included in its tariff."  Ex. BP-1at 2.</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CPUC disputes that these witnesses testified that Transwestern had not violated its tariff.  CPUC argues that they had based their conclusions on initial impressions drawn from Transwestern claims.  CPUC finds that this information was not reliable and that Transwestern practices did not conform with its tariff in awarding the capacity to SET and Richardson. CPUC R.B. at 8.   However, CPUC is expressing its evaluation of the testimony of these witnesses but this evaluation is not supported by the record in this proceeding.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Indicated Shippers also seem to have second thoughts on whether Transwestern violated its tariff.  However, their comments, as well as those of CPUC , concern the justness and fairness of Transwestern practices and not whether there was conformance with the tariff.  </w:t>
        <w:tab/>
        <w:t xml:space="preserve">While Staff argues that Transwestern has not answered the arguments Staff raised that the capacity at issue was not awarded in an accurate and fair manner, Staff concedes that the capacity was posted and awarded consistent with Transwestern's tariff.  Staff R.B. at 7-8.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b/>
          <w:bCs/>
          <w:sz w:val="26"/>
          <w:szCs w:val="26"/>
        </w:rPr>
      </w:pPr>
      <w:r>
        <w:rPr>
          <w:b/>
          <w:bCs/>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b/>
          <w:bCs/>
          <w:sz w:val="26"/>
          <w:szCs w:val="26"/>
        </w:rPr>
      </w:pPr>
      <w:r>
        <w:rPr>
          <w:sz w:val="26"/>
          <w:szCs w:val="26"/>
          <w:highlight w:val="yellow"/>
        </w:rPr>
        <w:t>I find that the transportation capacity at issue was awarded in a manner consistent with Transwestern's tariff.</w:t>
      </w:r>
      <w:r>
        <w:rPr>
          <w:sz w:val="26"/>
          <w:szCs w:val="26"/>
        </w:rPr>
        <w:t xml:space="preserve">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b/>
          <w:bCs/>
          <w:sz w:val="26"/>
          <w:szCs w:val="26"/>
        </w:rPr>
      </w:pPr>
      <w:r>
        <w:rPr>
          <w:b/>
          <w:bCs/>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The second portion of this issue concerns whether the advertising and awarding of the transportation capacity was performed in a fair and accurate manner. </w:t>
        <w:tab/>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Indicated Shippers note that there are three relevant transportation capacity and posting sections of Transwestern's Tariff:  Section 13 "Right of First Refusal" ("ROFR") in the FTS Rate Schedule 18;  Section 18 "Electronic Bulletin Board and Internet Information" in the   General Terms and Conditions;  and Section 30 "Capacity Release Program" in the General Terms and Conditions.  Indicated Shippers state that there are five different capacity posting formats utilized by Transwestern: Exh. BP-2 (Notice of Available Firm Capacity on Transwestern);  Exh. BP-3 (Design Capacity);  Exh. BP-4 (Operational Available Capacity); Exh. BP-5 (Unsubscribed Capacity, available on a monthly basis);  and Transwestern's  new daily posting of  Unsubscribed Capacity, which is operationally available on a firm basis, as described at Tr. 76, lines 23-24. Indicated Shippers I.B. at 4.</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Indicated Shippers fault these capacity postings as having little practical utility because they cannot be relied upon, are of insufficient duration, and do not comply with the tariff.   Indicated Shippers contend that Transwestern does not have clear capacity posting, bidding, and award procedures applicable to its sale of capacity in their tariff.  Indicated Shippers complain that while Transwestern's witness testified that Tariff Section 13 (C) of FTS-1 Rate Schedule governs its procedures for awarding all firm transportation capacity, the caption is "Right of First Refusal"(ROF").   Indicated Shippers believes that there should be a separate provision in Transwestern's Tariff where all of the posting, bidding, and award procedure are clearly stated.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Indicated Shippers argue that Transwestern gave SET and Richardson prior access to information regarding the availability of capacity.   Indicated Shippers and Staff question why there were no other bidders for the capacity awarded to SET and Richardson when firm capacity into California was extremely valuable.  They also question why neither SET nor Richardson bid on each others' contracts.  Indicated Shippers find the answer obvious - that only SET was given advance notice of the capacity that it was ultimately awarded and, similarly, only Richardson was given advance notice of the capacity ultimately awarded.  Indicated Shippers R.B. at 4.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However, the evidence does not confirm Indicated Shippers' conclusion.  While neither SET nor Richardson bid on each others' contracts, the testimony does not substantiate that there was were any prior agreements among the parties to the contracts.</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Staff also argues that there must have been prior notice of availability given to SET and Richardson.  Staff state that the testimony of Transwestern witness Lohman confirms that she called Richardson and SET in advance of the posting.  Staff R.B. at 6.  Staff points to Exh. T-22 at 10 to show that there was an admission by the witness that Richardson had advance notice of the availability of capacity.  However, the exhibit does not bear out Staff's suspicion.   Witness Lohman testified:</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ind w:start="1080" w:end="1800"/>
        <w:rPr>
          <w:sz w:val="26"/>
          <w:szCs w:val="26"/>
        </w:rPr>
      </w:pPr>
      <w:r>
        <w:rPr>
          <w:sz w:val="26"/>
          <w:szCs w:val="26"/>
        </w:rPr>
        <w:t>As I stated before, I am in daily contact with customers discussing issues such as prior transactions, posted capacity, market conditions, and the interest of shippers in utilizing Transwestern's system...  Along with others, it has been normal for me to speak with Mr. Walker (Richardson) and Ms Katz (Sempra) every other day or so, sometimes daily during certain periods, sometimes several times a day.  Exh. T-22 at 6.</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With regard to the January 26, 2001, SET contract, the witness said that she had a  conversation with SETs buyer, Ms Katz, but only after the capacity was posted.  On cross examination, the witness  replied to questions as follows:</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ind w:start="1080" w:end="1800"/>
        <w:rPr>
          <w:sz w:val="26"/>
          <w:szCs w:val="26"/>
        </w:rPr>
      </w:pPr>
      <w:r>
        <w:rPr>
          <w:sz w:val="26"/>
          <w:szCs w:val="26"/>
        </w:rPr>
        <w:t>Q.  How do you select among those customers who to talk to about the availability of operational capacity?</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ind w:start="1080" w:end="1800"/>
        <w:rPr>
          <w:sz w:val="26"/>
          <w:szCs w:val="26"/>
        </w:rPr>
      </w:pPr>
      <w:r>
        <w:rPr>
          <w:sz w:val="26"/>
          <w:szCs w:val="26"/>
        </w:rPr>
        <w:t>A.  When capacity becomes available, it's posted on the board for all shippers to see.</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ind w:start="1080" w:end="1800"/>
        <w:rPr>
          <w:sz w:val="26"/>
          <w:szCs w:val="26"/>
        </w:rPr>
      </w:pPr>
      <w:r>
        <w:rPr>
          <w:sz w:val="26"/>
          <w:szCs w:val="26"/>
        </w:rPr>
        <w:t>Q.  But your testimony leads me to believe that prior to the posting, as part of your job, you have ongoing conversations with a myriad of customers on a number of things including the potential for operational capacity?</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1080" w:end="1080"/>
        <w:rPr>
          <w:sz w:val="26"/>
          <w:szCs w:val="26"/>
        </w:rPr>
      </w:pPr>
      <w:r>
        <w:rPr>
          <w:sz w:val="26"/>
          <w:szCs w:val="26"/>
        </w:rPr>
        <w:t>A.  Right.</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ind w:start="1080" w:end="1800"/>
        <w:rPr>
          <w:sz w:val="26"/>
          <w:szCs w:val="26"/>
        </w:rPr>
      </w:pPr>
      <w:r>
        <w:rPr>
          <w:sz w:val="26"/>
          <w:szCs w:val="26"/>
        </w:rPr>
        <w:t>Q.  So what I am trying to get at is do you have a selection process as to whom to alert?</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ind w:start="1080" w:end="1800"/>
        <w:rPr>
          <w:sz w:val="26"/>
          <w:szCs w:val="26"/>
        </w:rPr>
      </w:pPr>
      <w:r>
        <w:rPr>
          <w:sz w:val="26"/>
          <w:szCs w:val="26"/>
        </w:rPr>
        <w:t xml:space="preserve">A.  No sir, I don't, and I don't alert anybody about the posting of capacity.  Tr. at 179-80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highlight w:val="yellow"/>
        </w:rPr>
        <w:t>While Staff makes a valiant try to establish that SET and Richardson obtained prior notice of the capacity posting, the evidence does not confirm that such was the case.  Both Indicated Shippers and Staff find it curious that SET and Richardson were the sole bidders on the contracts awarded to each of them.  However such curiosity does not translate into proof.</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pPr>
      <w:r>
        <w:rPr>
          <w:sz w:val="26"/>
          <w:szCs w:val="26"/>
        </w:rPr>
        <w:t xml:space="preserve">    </w:t>
      </w:r>
      <w:r>
        <w:rPr>
          <w:sz w:val="26"/>
          <w:szCs w:val="26"/>
        </w:rPr>
        <w:tab/>
        <w:t xml:space="preserve">CPUC arguments on brief make essentially the same points put forth by Indicated Shippers and Staff.  CPUC contends that whether or not Transwestern's actions in using the questioned contracts are expressly prohibited by its present tariff, they are nonetheless unjust, unreasonable, and anti-competitive. </w:t>
      </w:r>
      <w:r>
        <w:rPr>
          <w:sz w:val="26"/>
          <w:szCs w:val="26"/>
          <w:highlight w:val="yellow"/>
        </w:rPr>
        <w:t>There is no showing that Transwestern's actions were prohibited by its tariff.  Nor can Transwestern be faulted for operating under a tariff that has been accepted by the Commission.  Whether the challenged tariff provisions should be modified is another matter and is addressed below.</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highlight w:val="yellow"/>
        </w:rPr>
      </w:pPr>
      <w:r>
        <w:rPr>
          <w:sz w:val="26"/>
          <w:szCs w:val="26"/>
          <w:highlight w:val="yellow"/>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pPr>
      <w:r>
        <w:rPr>
          <w:sz w:val="26"/>
          <w:szCs w:val="26"/>
          <w:highlight w:val="yellow"/>
        </w:rPr>
        <w:t xml:space="preserve"> </w:t>
      </w:r>
      <w:r>
        <w:rPr>
          <w:sz w:val="26"/>
          <w:szCs w:val="26"/>
          <w:highlight w:val="yellow"/>
        </w:rPr>
        <w:tab/>
        <w:t>I find that neither SET nor Richardson received advance notice of the availability of capacity with regard to the contracts at issue</w:t>
      </w:r>
      <w:r>
        <w:rPr>
          <w:sz w:val="26"/>
          <w:szCs w:val="26"/>
        </w:rPr>
        <w:t>.</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Staff and Indicated Shippers describe reviewing capacity  on the Transwestern web site as a tortuous process.  Staff states that, in accordance with Commission regulation, electronic bulletin boards should be "user friendly," pipelines should include all operating terms, conditions, and rules in their tariffs. Staff I.B. at 6.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pPr>
      <w:r>
        <w:rPr>
          <w:sz w:val="26"/>
          <w:szCs w:val="26"/>
        </w:rPr>
        <w:t>Transwestern claims that its internet web site provides capacity information in an user-friendly, straightforward format.  As an example, its witness, using a Transwestern Report of Available Capacity (Exh. BP-5),  gave an example of how a potential shipper could trace available capacity on Transwestern's system.  Tr.</w:t>
      </w:r>
      <w:r>
        <w:rPr>
          <w:i/>
          <w:iCs/>
          <w:sz w:val="26"/>
          <w:szCs w:val="26"/>
        </w:rPr>
        <w:t xml:space="preserve"> </w:t>
      </w:r>
      <w:r>
        <w:rPr>
          <w:sz w:val="26"/>
          <w:szCs w:val="26"/>
        </w:rPr>
        <w:t>at 103.  While the witness' expertise was amply demonstrated, others may not experience the same facility.</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Indicated Shippers point out five different capacity formats utilized by Transwestern.  A better methodology suggested by them is to have a separate provision in Transwestern's tariff where all the posting, bidding and award procedures for purposes of awarding capacity are clearly stated. Indicated Shippers I.B. at 8.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pPr>
      <w:r>
        <w:rPr>
          <w:sz w:val="26"/>
          <w:szCs w:val="26"/>
        </w:rPr>
        <w:t xml:space="preserve">Transwestern states, on brief, that it is not opposed to clarification of its tariff.  </w:t>
      </w:r>
      <w:r>
        <w:rPr>
          <w:i/>
          <w:iCs/>
          <w:sz w:val="26"/>
          <w:szCs w:val="26"/>
        </w:rPr>
        <w:t xml:space="preserve"> </w:t>
      </w:r>
      <w:r>
        <w:rPr>
          <w:sz w:val="26"/>
          <w:szCs w:val="26"/>
        </w:rPr>
        <w:t xml:space="preserve">Transwestern R.B. at 39.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highlight w:val="yellow"/>
        </w:rPr>
        <w:t>I find Transwestern should modify its tariff so that all posting, bidding, and award procedures are set forth in a separate provision with an appropriate caption.</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Addressing Staff's criticism that "the term of a capacity's availability does not appear in Transwestern's posting, nor is operational capacity posted separately," Transwestern observes that the Commission has already ordered revisions as to these two matters and that Transwestern has already complied in a filing made August 10, 2001.  </w:t>
        <w:tab/>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Transwestern successfully refutes Staff allegations that there is a lack of clarity and specificity in its tariff in offering and awarding capacity.   Transwestern's witness Miller  testified:</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1080"/>
        <w:rPr>
          <w:sz w:val="26"/>
          <w:szCs w:val="26"/>
        </w:rPr>
      </w:pPr>
      <w:r>
        <w:rPr>
          <w:sz w:val="26"/>
          <w:szCs w:val="26"/>
        </w:rPr>
        <w:t xml:space="preserve">When a shipper makes a request for the capacity, they send in a transportation request form.  That would indicate the points that they wish.  All other things being equal, if there has not been a discussion, the rate is the recourse rate.  That's what the tariff provides.    </w:t>
        <w:tab/>
        <w:tab/>
        <w:tab/>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t>Tr. at 101.</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Transwestern also successfully shows that there is a specified section of its tariff entitled RATE that expressly provides the maximum Tariff rate (recourse rate) applies to all shippers under Rate Schedule FTS-1 unless there is an agreement to discount or negotiate  rates.  Transwestern cites to its tariff:</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center" w:pos="4725"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tab/>
        <w:t>RATE SCHEDULES FTS-1</w:t>
      </w:r>
    </w:p>
    <w:p>
      <w:pPr>
        <w:pStyle w:val="Normal"/>
        <w:widowControl/>
        <w:tabs>
          <w:tab w:val="clear" w:pos="720"/>
          <w:tab w:val="center" w:pos="4725"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tab/>
        <w:t>Firm Transportation Service</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ind w:start="1080" w:end="1800"/>
        <w:rPr/>
      </w:pPr>
      <w:r>
        <w:rPr>
          <w:sz w:val="26"/>
          <w:szCs w:val="26"/>
        </w:rPr>
        <w:t xml:space="preserve">3.   </w:t>
      </w:r>
      <w:r>
        <w:rPr>
          <w:sz w:val="26"/>
          <w:szCs w:val="26"/>
          <w:u w:val="single"/>
        </w:rPr>
        <w:t>RATE</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ind w:start="1080" w:end="1800"/>
        <w:rPr>
          <w:sz w:val="26"/>
          <w:szCs w:val="26"/>
        </w:rPr>
      </w:pPr>
      <w:r>
        <w:rPr>
          <w:sz w:val="26"/>
          <w:szCs w:val="26"/>
        </w:rPr>
        <w:t>The applicable rates for the purpose of computing charges under this Rate Schedule are set forth in the currently effective Rate Sheets of this tariff and are incorporated herein...</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t>Transwestern R.B. at 22 citing Item by Reference A. Transwestern FERC Gas Tariff, 7th Revised Sheet No.8. Rate Schedule FTS-1, Section 3.</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pPr>
      <w:r>
        <w:rPr>
          <w:sz w:val="26"/>
          <w:szCs w:val="26"/>
        </w:rPr>
        <w:t xml:space="preserve">Transwestern notes that the "currently effective Rate Sheets" incorporated in Section 3 contain the actual numerical rates.  It states that the recourse rates for delivery to California are shown on 124 Revised Sheet No. 5 in Item by Reference A. </w:t>
      </w:r>
      <w:r>
        <w:rPr>
          <w:i/>
          <w:iCs/>
          <w:sz w:val="26"/>
          <w:szCs w:val="26"/>
        </w:rPr>
        <w:t>Id</w:t>
      </w:r>
      <w:r>
        <w:rPr>
          <w:sz w:val="26"/>
          <w:szCs w:val="26"/>
        </w:rPr>
        <w:t xml:space="preserve">. At 22.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Transwestern asserts that each of its Rate Schedules contains a similar Section 3 which sets forth the recourse rate applicable to the particular service or incorporates by reference a Rate Schedule that does.</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center" w:pos="4725" w:leader="none"/>
          <w:tab w:val="left" w:pos="5400" w:leader="none"/>
          <w:tab w:val="left" w:pos="6120" w:leader="none"/>
          <w:tab w:val="left" w:pos="6840" w:leader="none"/>
          <w:tab w:val="left" w:pos="7560" w:leader="none"/>
          <w:tab w:val="left" w:pos="8280" w:leader="none"/>
        </w:tabs>
        <w:ind w:end="720"/>
        <w:rPr/>
      </w:pPr>
      <w:r>
        <w:rPr>
          <w:sz w:val="26"/>
          <w:szCs w:val="26"/>
        </w:rPr>
        <w:tab/>
      </w:r>
      <w:r>
        <w:rPr>
          <w:b/>
          <w:bCs/>
          <w:sz w:val="26"/>
          <w:szCs w:val="26"/>
          <w:highlight w:val="yellow"/>
        </w:rPr>
        <w:t>Ruling</w:t>
      </w:r>
      <w:r>
        <w:rPr>
          <w:sz w:val="26"/>
          <w:szCs w:val="26"/>
          <w:highlight w:val="yellow"/>
        </w:rPr>
        <w:tab/>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highlight w:val="yellow"/>
        </w:rPr>
      </w:pPr>
      <w:r>
        <w:rPr>
          <w:sz w:val="26"/>
          <w:szCs w:val="26"/>
          <w:highlight w:val="yellow"/>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720" w:start="1080" w:end="720"/>
        <w:rPr>
          <w:sz w:val="26"/>
          <w:szCs w:val="26"/>
          <w:highlight w:val="yellow"/>
        </w:rPr>
      </w:pPr>
      <w:r>
        <w:rPr>
          <w:sz w:val="26"/>
          <w:szCs w:val="26"/>
          <w:highlight w:val="yellow"/>
        </w:rPr>
        <w:t>1.</w:t>
        <w:tab/>
        <w:t>The transportation capacity at issue was advertised and awarded consistent with Transwestern's Tariff;</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720" w:start="1080" w:end="720"/>
        <w:rPr>
          <w:sz w:val="26"/>
          <w:szCs w:val="26"/>
          <w:highlight w:val="yellow"/>
        </w:rPr>
      </w:pPr>
      <w:r>
        <w:rPr>
          <w:sz w:val="26"/>
          <w:szCs w:val="26"/>
          <w:highlight w:val="yellow"/>
        </w:rPr>
        <w:t>2.</w:t>
        <w:tab/>
        <w:t xml:space="preserve">Neither Sempra nor Richardson received prior notice of the availability of the capacity at issue;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720" w:start="1080" w:end="720"/>
        <w:rPr>
          <w:sz w:val="26"/>
          <w:szCs w:val="26"/>
          <w:highlight w:val="yellow"/>
        </w:rPr>
      </w:pPr>
      <w:r>
        <w:rPr>
          <w:sz w:val="26"/>
          <w:szCs w:val="26"/>
          <w:highlight w:val="yellow"/>
        </w:rPr>
        <w:t>3.</w:t>
        <w:tab/>
        <w:t>Because the capacity at issue was awarded in conformance with Transwestern's Tariff, it appears to have been awarded in an accurate and fair manner;</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720" w:start="1080" w:end="720"/>
        <w:rPr/>
      </w:pPr>
      <w:r>
        <w:rPr>
          <w:sz w:val="26"/>
          <w:szCs w:val="26"/>
          <w:highlight w:val="yellow"/>
        </w:rPr>
        <w:t>4.</w:t>
        <w:tab/>
        <w:t>However, in order to avoid confusion, a better method of advertising and awarding capacity is to have a separate provision in Transwestern's tariff where all the posting, bidding and award procedures for purposes of awarding capacity are clearly stated and Transwestern is directed to modify its tariff accordingly.</w:t>
      </w:r>
      <w:r>
        <w:rPr>
          <w:sz w:val="26"/>
          <w:szCs w:val="26"/>
        </w:rPr>
        <w:t xml:space="preserve">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b/>
          <w:bCs/>
          <w:sz w:val="26"/>
          <w:szCs w:val="26"/>
        </w:rPr>
        <w:t>Issue No. 2.  Were the transportation rates negotiated by Transwestern with the shippers the product of an exercise of market power (i.e. did Transwestern withhold capacity that otherwise would have been made available under recourse service in order to make the capacity available under the negotiated rate charges at substantially higher rates)?</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Indicated Shippers offered no testimony on this issue.  However they say on brief that Transwestern's inadequate capacity posting and award procedures did not provide all interested parties with an opportunity to bid for the capacity that was available.</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Edison finds that Transwestern did not withhold capacity during the past winter season.  Instead Edison says Transwestern made operational capacity available that it might not have been required to make available.</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pPr>
      <w:r>
        <w:rPr>
          <w:sz w:val="26"/>
          <w:szCs w:val="26"/>
        </w:rPr>
        <w:t xml:space="preserve">CPUC argues that Transwestern exercised market power because:  Transwestern's profits under the negotiated rates were greater than Transwestern's profits would have been under recourse rates;  contract terms were revised during the life of the trading contracts;  the contracts at issue differed from other similar recourse rate firm contracts by having day to day rollover provisions;  and that Transwestern was essentially engaging in "marketing or brokering gas trades."  CPUC I.B. at 12-15 and CPUC R.B. at 14-17.  </w:t>
      </w:r>
      <w:r>
        <w:rPr>
          <w:sz w:val="26"/>
          <w:szCs w:val="26"/>
          <w:highlight w:val="yellow"/>
        </w:rPr>
        <w:t>Collectively, the allegations do not add up to an exercise of market power because they are all permissible under the Commission's negotiated rate policy and Transwestern's tariff.</w:t>
      </w:r>
      <w:r>
        <w:rPr>
          <w:sz w:val="26"/>
          <w:szCs w:val="26"/>
        </w:rPr>
        <w:t xml:space="preserve">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Transwestern denies that the Sempra and Richardson contracts were not equal to other firm transportation contracts because they had "roll over clauses."  Transwestern maintains that other firm contracts have roll over clauses.  Transwestern's tariff authorizes the parties to negotiate the term of a firm transportation contract, which may have a roll over clause.  Item by Reference A , 4th Revised Sheet No. 7, FTS-1 Rate Schedule; Section 2.1; Third Revised Sheet No. 16, Form M Service Agreement. Transwestern R.B. at 56.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pPr>
      <w:r>
        <w:rPr>
          <w:sz w:val="26"/>
          <w:szCs w:val="26"/>
        </w:rPr>
        <w:t xml:space="preserve">Staff cites a Commission Policy Statement issued on January 31, 1996, which set forth a "framework for evaluating requests for market based rates."  Staff says that this framework addressed two principle purposes: (1) whether the applicant can withhold or restrict services and, as a result, increase prices by a significant amount for a significant period of time, and (2) whether the applicant can discriminate unduly in price or terms and conditions. Staff I.B. at 14, citing Policy Statement 74 FERC ¶ 61,076 at 61,230.  Staff witness Sullivan charged that Transwestern, under the guise of negotiated rates, charged market based rates for which it had no authority.  Mr. Sullivan based his conclusion on the surmise that "the huge profits for these transactions collected by Transwestern, on operational capacity that was totally under its control on a day to day basis, </w:t>
      </w:r>
      <w:r>
        <w:rPr>
          <w:sz w:val="26"/>
          <w:szCs w:val="26"/>
          <w:u w:val="single"/>
        </w:rPr>
        <w:t>suggests</w:t>
      </w:r>
      <w:r>
        <w:rPr>
          <w:sz w:val="26"/>
          <w:szCs w:val="26"/>
        </w:rPr>
        <w:t xml:space="preserve"> that Transwestern in fact exercised market power in the negotiation of the rates involved in these transactions." (Emphasis supplied) Staff I.B. at 14, Exh. S-1 at 13.</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Staff's charge is not based on evidence in the record but on the witness' conclusory statement. Staff notes that Transwestern did not challenge its witness' conclusions on cross-examining its witness.   However, the lack of cross examination does not confirm the accuracy of the witness' surmise.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pPr>
      <w:r>
        <w:rPr>
          <w:sz w:val="26"/>
          <w:szCs w:val="26"/>
        </w:rPr>
        <w:t>Staff notes that Transwestern witness Harris testified that index- to- index pricing</w:t>
      </w:r>
      <w:r>
        <w:rPr>
          <w:rStyle w:val="FootnoteCharacters"/>
          <w:rStyle w:val="FootnoteReference"/>
          <w:sz w:val="26"/>
          <w:szCs w:val="26"/>
          <w:vertAlign w:val="superscript"/>
        </w:rPr>
        <w:footnoteReference w:id="12"/>
      </w:r>
      <w:r>
        <w:rPr>
          <w:sz w:val="26"/>
          <w:szCs w:val="26"/>
        </w:rPr>
        <w:t xml:space="preserve"> has become increasingly common for transportation on interstate pipelines.  But Staff says the only instances of such pricing was from the contracts at issue here.  Transwestern points out that the three other contracts discussed in the Commission's July 26 order were similarly priced.</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Staff criticizes Transwestern's posting of capacity.  Staff argues that, as shown in the cross examination of Transwestern witness Miller, none of the reports posted on Transwestern's Electronic Bulletin Board ("EBB") gives shippers any indication whether mainline capacity is available.  Staff finds that a shipper must first send Transwestern a "request for capacity."  Then Transwestern would get back to the shipper whether or not the posted capacity was actually available to them.  Staff charges that Transwestern customers know that EBB posted capacity is not certified as available until one submits a request and that request is granted by unknown Transwestern employees, following unidentified internal policies , in determining whether or not to accept the request. Staff I.B. at 17-18.  Staff argues that this procedure highlights the lack of transparency in Transwestern's EBB posting and is a significant factor allowing it to exercise market power.</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Staff also revisits its arguments that Sempra and Richardson had prior  conversations with Transwestern personnel regarding the availability of capacity.  Staff believes that neither Sempra nor Richardson submitted bids but only requests which were then treated by Transwestern as bids.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center" w:pos="4725" w:leader="none"/>
          <w:tab w:val="left" w:pos="5400" w:leader="none"/>
          <w:tab w:val="left" w:pos="6120" w:leader="none"/>
          <w:tab w:val="left" w:pos="6840" w:leader="none"/>
          <w:tab w:val="left" w:pos="7560" w:leader="none"/>
          <w:tab w:val="left" w:pos="8280" w:leader="none"/>
        </w:tabs>
        <w:ind w:hanging="360" w:start="360" w:end="720"/>
        <w:rPr/>
      </w:pPr>
      <w:r>
        <w:rPr>
          <w:sz w:val="26"/>
          <w:szCs w:val="26"/>
        </w:rPr>
        <w:t xml:space="preserve"> </w:t>
      </w:r>
      <w:r>
        <w:rPr>
          <w:sz w:val="26"/>
          <w:szCs w:val="26"/>
        </w:rPr>
        <w:tab/>
        <w:tab/>
      </w:r>
      <w:r>
        <w:rPr>
          <w:b/>
          <w:bCs/>
          <w:sz w:val="26"/>
          <w:szCs w:val="26"/>
        </w:rPr>
        <w:t>Ruling</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b/>
          <w:bCs/>
          <w:sz w:val="26"/>
          <w:szCs w:val="26"/>
        </w:rPr>
      </w:pPr>
      <w:r>
        <w:rPr>
          <w:b/>
          <w:bCs/>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pPr>
      <w:r>
        <w:rPr>
          <w:sz w:val="26"/>
          <w:szCs w:val="26"/>
        </w:rPr>
        <w:t xml:space="preserve">At issue here is whether Transwestern exercised market power in negotiating rates with the shippers by withholding or threatening to withhold capacity.  </w:t>
      </w:r>
      <w:r>
        <w:rPr>
          <w:sz w:val="26"/>
          <w:szCs w:val="26"/>
          <w:highlight w:val="yellow"/>
        </w:rPr>
        <w:t>There is no evidence demonstrating such behavior by Transwestern.</w:t>
      </w:r>
      <w:r>
        <w:rPr>
          <w:sz w:val="26"/>
          <w:szCs w:val="26"/>
        </w:rPr>
        <w:t xml:space="preserve">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Staff's arguments really are criticisms of the posting and award procedures but do not demonstrate the exercise of market power.   The Commission in its Policy Statement  requires the availability of recourse rates to "...prevent pipelines from exercising market power by assuring that the customer can fall back to cost based, traditional service if the pipeline unilaterally demands excessive prices or withholds service." 74 FERC at 61,240.  </w:t>
        <w:tab/>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That the customers elected to negotiate rates does not eliminate the fact there were recourse rates available.  Staff witness recognized that "Commission's policy with regard to negotiated rates appears to permit pipelines, like Transwestern in the instant case, to charge rates under certain circumstances substantially in excess of their stated maximum rates, and which may reflect a market premium." Exh S-1 at 14.  However, Staff Witness' conclusions were based on conjecture and not evidence in the record.</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Considering all the arguments made, I find that the negotiated rates at issue were not a result of an exercise of market power.  I find that Staff , CPUC, and Indicated Shippers really have addressed the deficiencies with the advertising and awarding of available capacity by Transwestern.  These deficiencies will be remedied by the ruling in Issue 1, above.</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b/>
          <w:bCs/>
          <w:sz w:val="26"/>
          <w:szCs w:val="26"/>
        </w:rPr>
      </w:pPr>
      <w:r>
        <w:rPr>
          <w:sz w:val="26"/>
          <w:szCs w:val="26"/>
          <w:highlight w:val="yellow"/>
        </w:rPr>
        <w:t xml:space="preserve">I conclude that the transportation rates negotiated by Transwestern with the shippers were </w:t>
      </w:r>
      <w:r>
        <w:rPr>
          <w:sz w:val="26"/>
          <w:szCs w:val="26"/>
          <w:highlight w:val="yellow"/>
          <w:u w:val="single"/>
        </w:rPr>
        <w:t>not</w:t>
      </w:r>
      <w:r>
        <w:rPr>
          <w:sz w:val="26"/>
          <w:szCs w:val="26"/>
          <w:highlight w:val="yellow"/>
        </w:rPr>
        <w:t xml:space="preserve"> the product of an exercise of market power and that Transwestern did </w:t>
      </w:r>
      <w:r>
        <w:rPr>
          <w:sz w:val="26"/>
          <w:szCs w:val="26"/>
          <w:highlight w:val="yellow"/>
          <w:u w:val="single"/>
        </w:rPr>
        <w:t>not</w:t>
      </w:r>
      <w:r>
        <w:rPr>
          <w:sz w:val="26"/>
          <w:szCs w:val="26"/>
          <w:highlight w:val="yellow"/>
        </w:rPr>
        <w:t xml:space="preserve"> withhold capacity that otherwise would have been available under recourse service in order to make capacity available under the negotiated rate charges at substantially higher rates.</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b/>
          <w:bCs/>
          <w:sz w:val="26"/>
          <w:szCs w:val="26"/>
        </w:rPr>
      </w:pPr>
      <w:r>
        <w:rPr>
          <w:b/>
          <w:bCs/>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b/>
          <w:bCs/>
          <w:sz w:val="26"/>
          <w:szCs w:val="26"/>
        </w:rPr>
        <w:t>Issue No. 3.  Why did the Shippers agree to these rates when significantly lower recourse rates should have been made available under the negotiated rate program?</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Indicated Shippers did not address this issue on brief;  Edison took no position on this issue, but state that there was insufficient evidence on record addressing this issue to make a decision and that Richardson's and SET's decisions seem irrational and extraordinarily poor.</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CPUC allege that Richardson and SET believed that they would be awarded capacity only if they paid the negotiated rate and that a recourse rate bid would not be a winning bid;  also that shippers could not judge how Transwestern evaluated recourse rate bids as compared to negotiated rate bids because Transwestern did not disclose Transwestern's bid evaluation process.  I.B. at 15-18.  Additionally, CPUC argues that Richardson and SET feared that the capacity would be available only to negotiated bids.  R.B. at 21.</w:t>
        <w:tab/>
        <w:tab/>
        <w:tab/>
        <w:tab/>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pPr>
      <w:r>
        <w:rPr>
          <w:sz w:val="26"/>
          <w:szCs w:val="26"/>
        </w:rPr>
        <w:t>Transwestern argues that Richardson and SET entered the negotiated rate contracts voluntarily for a number of business reasons: "... (1) the decision to generally transact business on an index basis, (2) by electing to pay a negotiated rate, they would avoid demand cost risk inherent in the traditional recourse rate structure, and (3) under the negotiated rates ... they were guaranteed a profit in the transaction equal to their agreed-upon share of the spread ... used to calculate the negotiated rates."  Ex. TW-21 at 2, ln. 6-12.  These reasons are confirmed by the testimony of Richardson and SET witnesses.</w:t>
      </w:r>
      <w:r>
        <w:rPr>
          <w:rStyle w:val="FootnoteCharacters"/>
          <w:rStyle w:val="FootnoteReference"/>
          <w:sz w:val="26"/>
          <w:szCs w:val="26"/>
          <w:vertAlign w:val="superscript"/>
        </w:rPr>
        <w:footnoteReference w:id="13"/>
      </w:r>
      <w:r>
        <w:rPr>
          <w:sz w:val="26"/>
          <w:szCs w:val="26"/>
        </w:rPr>
        <w:t xml:space="preserve">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pPr>
      <w:r>
        <w:rPr>
          <w:sz w:val="26"/>
          <w:szCs w:val="26"/>
        </w:rPr>
        <w:t xml:space="preserve"> </w:t>
      </w:r>
      <w:r>
        <w:rPr>
          <w:sz w:val="26"/>
          <w:szCs w:val="26"/>
          <w:highlight w:val="yellow"/>
        </w:rPr>
        <w:t>CPUC fails to produce evidence demonstrating that:  Richardson and SET believed that a recourse rate bid would not receive capacity</w:t>
      </w:r>
      <w:r>
        <w:rPr>
          <w:rStyle w:val="FootnoteCharacters"/>
          <w:rStyle w:val="FootnoteReference"/>
          <w:sz w:val="26"/>
          <w:szCs w:val="26"/>
          <w:highlight w:val="yellow"/>
          <w:vertAlign w:val="superscript"/>
        </w:rPr>
        <w:footnoteReference w:id="14"/>
      </w:r>
      <w:r>
        <w:rPr>
          <w:sz w:val="26"/>
          <w:szCs w:val="26"/>
          <w:highlight w:val="yellow"/>
        </w:rPr>
        <w:t>;  that Richardson and SET feared that capacity would not be awarded except for negotiated rate bids</w:t>
      </w:r>
      <w:r>
        <w:rPr>
          <w:rStyle w:val="FootnoteCharacters"/>
          <w:rStyle w:val="FootnoteReference"/>
          <w:sz w:val="26"/>
          <w:szCs w:val="26"/>
          <w:highlight w:val="yellow"/>
          <w:vertAlign w:val="superscript"/>
        </w:rPr>
        <w:footnoteReference w:id="15"/>
      </w:r>
      <w:r>
        <w:rPr>
          <w:sz w:val="26"/>
          <w:szCs w:val="26"/>
          <w:highlight w:val="yellow"/>
        </w:rPr>
        <w:t>; or that Richardson and SET had difficulty evaluating recourse rate bid compared to negotiated rate bids because of Transwestern's failure to disclose its bid evaluation process.  Transwestern's arguments are convincing because CPUC do not substantiate their argument with evidence in the record.</w:t>
      </w:r>
      <w:r>
        <w:rPr>
          <w:sz w:val="26"/>
          <w:szCs w:val="26"/>
        </w:rPr>
        <w:t xml:space="preserve">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pPr>
      <w:r>
        <w:rPr>
          <w:sz w:val="26"/>
          <w:szCs w:val="26"/>
        </w:rPr>
        <w:t>Staff believes that SET and Richardson's choice to negotiate rates was a result of Transwestern's exercise in market power.  I.B. at 22.  Staff argue that certain terms and conditions of the negotiated rates are indicative of the presence of market power.  I.B. at 22-25.  Staff argue that the use of index-to-index pricing was not a typical business practice in natural gas transportation, comprising only four percent of all of Transwestern's transportation.  Id.  Staff also raise questions as to Transwestern's choice of providing the capacity as FTS rather than LTS,</w:t>
      </w:r>
      <w:r>
        <w:rPr>
          <w:rStyle w:val="FootnoteCharacters"/>
          <w:rStyle w:val="FootnoteReference"/>
          <w:sz w:val="26"/>
          <w:szCs w:val="26"/>
          <w:vertAlign w:val="superscript"/>
        </w:rPr>
        <w:footnoteReference w:id="16"/>
      </w:r>
      <w:r>
        <w:rPr>
          <w:sz w:val="26"/>
          <w:szCs w:val="26"/>
        </w:rPr>
        <w:t xml:space="preserve"> and accuse Transwestern of converting the day to day rollover contracts into a 30 day FTS contract.  Id.  All these Transwestern actions, Staff argue, are exercises of market power.  Id.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Staff argues that if shippers wanted daily firm service for a month, they had no choice but to negotiate rates, terms, and conditions with Transwestern.  I.B. at 25-27 and R.B. at 15-16. Additionally, Staff argue that Transwestern has undue discretion in interpreting and choosing bids in order to maximize profit.   Id.  Staff reiterate arguments made elsewhere about the imperfections of Transwestern's posting procedures.  Id.  Staff are also disturbed by SET and Richardson's willingness to accept lower profits at the negotiated rate than would otherwise been available at Transwestern's recourse rate.  R.B. at 14.  Finally, Staff argue that Transwestern's behavior was not consistent with the Commission's Policy on negotiated rates because Transwestern's behavior did not treat similarly situated shippers similarly.</w:t>
      </w:r>
      <w:r>
        <w:rPr>
          <w:rStyle w:val="FootnoteCharacters"/>
          <w:rStyle w:val="FootnoteReference"/>
          <w:sz w:val="26"/>
          <w:szCs w:val="26"/>
          <w:vertAlign w:val="superscript"/>
        </w:rPr>
        <w:footnoteReference w:id="17"/>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Transwestern responds by reiterating arguments that no market power was exercised because no shipper bid for the capacity at the recourse rate and that SET and Richardson were satisfied with the outcome.  R.B. at 57-59.  Transwestern repeats arguments that SET and Richardson's actions were valid business judgments in choosing the negotiated rates.  Id.</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pPr>
      <w:r>
        <w:rPr>
          <w:sz w:val="26"/>
          <w:szCs w:val="26"/>
        </w:rPr>
        <w:t>Regarding the index-to-index pricing issue, the record is not clear as to who suggested index-to-index pricing in respect to SET.  However, what is clear is that index-to-index pricing was agreed upon between Transwestern and SET after the capacity had been made available to shippers bidding at the recourse rate.</w:t>
      </w:r>
      <w:r>
        <w:rPr>
          <w:rStyle w:val="FootnoteCharacters"/>
          <w:rStyle w:val="FootnoteReference"/>
          <w:sz w:val="26"/>
          <w:szCs w:val="26"/>
          <w:vertAlign w:val="superscript"/>
        </w:rPr>
        <w:footnoteReference w:id="18"/>
      </w:r>
      <w:r>
        <w:rPr>
          <w:sz w:val="26"/>
          <w:szCs w:val="26"/>
        </w:rPr>
        <w:t xml:space="preserve">  As for Richardson, "...Richardson proposed the ... index-to-index formula that was later approved by Transwestern ..."  Ex. No. TW-14.  Transwestern responds to Staff's allegations that the terms and conditions of the negotiated rate contract were negotiated by pointing out that Transwestern's tariff allows Transwestern to do so.  R.B. at 63-64.</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Despite Staff's attempt to color the behavior between Transwestern and SET and Richardson as one of an exercise in market power forcing SET and Richardson to choose negotiated rates, the evidence in the record indicates only that SET and Transwestern agreed on the negotiated rate after the capacity was posted on the EBB and that Richardson suggested the negotiated rate to Transwestern.  The shippers agreed to the negotiated rates because they chose to do so and not because Transwestern exercised market power.</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jc w:val="center"/>
        <w:rPr>
          <w:sz w:val="26"/>
          <w:szCs w:val="26"/>
          <w:highlight w:val="yellow"/>
        </w:rPr>
      </w:pPr>
      <w:r>
        <w:rPr>
          <w:b/>
          <w:bCs/>
          <w:sz w:val="26"/>
          <w:szCs w:val="26"/>
          <w:highlight w:val="yellow"/>
        </w:rPr>
        <w:t>Ruling</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jc w:val="center"/>
        <w:rPr>
          <w:sz w:val="26"/>
          <w:szCs w:val="26"/>
          <w:highlight w:val="yellow"/>
        </w:rPr>
      </w:pPr>
      <w:r>
        <w:rPr>
          <w:sz w:val="26"/>
          <w:szCs w:val="26"/>
          <w:highlight w:val="yellow"/>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b/>
          <w:bCs/>
          <w:sz w:val="26"/>
          <w:szCs w:val="26"/>
        </w:rPr>
      </w:pPr>
      <w:r>
        <w:rPr>
          <w:sz w:val="26"/>
          <w:szCs w:val="26"/>
          <w:highlight w:val="yellow"/>
        </w:rPr>
        <w:t>I find that SET and Richardson chose the negotiated rates not as a result of Transwestern's exercise of market power, but, rather, because SET and Richardson believed it would benefit their firms to do so.   I do this because only Transwestern, SET, and Richardson provided evidence into the record explaining why they chose negotiated rates.  CPUC and Staff arguments are not supported by the evidence in record and I conclude that SET and Richardson chose the negotiated rates because they believed it would profit their firms.</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b/>
          <w:bCs/>
          <w:sz w:val="26"/>
          <w:szCs w:val="26"/>
        </w:rPr>
      </w:pPr>
      <w:r>
        <w:rPr>
          <w:b/>
          <w:bCs/>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b/>
          <w:bCs/>
          <w:sz w:val="26"/>
          <w:szCs w:val="26"/>
        </w:rPr>
      </w:pPr>
      <w:r>
        <w:rPr>
          <w:b/>
          <w:bCs/>
          <w:sz w:val="26"/>
          <w:szCs w:val="26"/>
        </w:rPr>
        <w:t>Issue No. 4 Was The Awarded Capacity Available Without Interruption, While Firm Transportation Service Under Transwestern's Recourse Rates Were Not , If So,  Why?</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b/>
          <w:bCs/>
          <w:sz w:val="26"/>
          <w:szCs w:val="26"/>
        </w:rPr>
      </w:pPr>
      <w:r>
        <w:rPr>
          <w:b/>
          <w:bCs/>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Transwestern says that there is no dispute regarding this issue.  It points out that the capacity at issue was given no greater or lesser priority of service than was or would have been available at the recourse rate.</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CPUC claims that Transwestern failed to explain the source of operational capacity.  It notes on Reply Brief that Staff was unaware of any firm capacity that was interrupted , or not made available during the time period.  CPUC says that "[h]owever, although FERC staff, as the CPUC, has not in the course of this extremely rushed proceeding been able to obtain factual data on this issue, there is no factual record produced by Transwestern to support a conclusion that no firm transportation was cut or contemporaneously interrupted with the  Sempra Trading or Richardson contracts.  CPUC R.B. at 22.  CPUC suggests an additional paper hearing to allow parties ro explore this issue.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Indicated Shippers contends that Transwestern failed to explain the source of the operational capacity made available.  They complain that Transwestern did not volunteer for the Commission in its prepared testimony the specific data that would demonstrate that the capacity provided to Sempra and Richardson in February and March 2001, for deliveries to the specific California delivery points that ultimately became available, was in fact achieved through compressor operations and lower winter temperatures.  Indicated Shippers I.B. at 19.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Staff is unaware of any firm capacity that was interrupted during this period.</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As claimed on brief, Transwestern did explain how operational capacity in excess of design capacity becomes available.   Witness Miller testified:</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ind w:start="1080" w:end="1800"/>
        <w:rPr>
          <w:sz w:val="26"/>
          <w:szCs w:val="26"/>
        </w:rPr>
      </w:pPr>
      <w:r>
        <w:rPr>
          <w:sz w:val="26"/>
          <w:szCs w:val="26"/>
        </w:rPr>
        <w:t>Q.  How did the operational capacity that was provided under the 4 daily contracts at issue become available?</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ind w:start="1080" w:end="1800"/>
        <w:rPr>
          <w:sz w:val="26"/>
          <w:szCs w:val="26"/>
        </w:rPr>
      </w:pPr>
      <w:r>
        <w:rPr>
          <w:sz w:val="26"/>
          <w:szCs w:val="26"/>
        </w:rPr>
        <w:t>A. ....Although each segment of Transwestern's has a specified design capacity, the capacity of these facilities may, during certain periods of time, exceed their design capacity as a result of certain changes in operating conditions such as lower winter ambient temperatures and increased compressor efficiency associated with such temperatures.</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t>Exh. T-1 at 7</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Thus, Transwestern explained the source of operational capacity.   Transwestern says that it did produce detailed engineering data to Staff that was available to all parties.  It declares that the Commission did not establish a hearing on the engineering data that it furnished.  Transwestern R.B. at 69.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center" w:pos="4725"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tab/>
      </w:r>
      <w:r>
        <w:rPr>
          <w:b/>
          <w:bCs/>
          <w:sz w:val="26"/>
          <w:szCs w:val="26"/>
        </w:rPr>
        <w:t>Ruling</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Admittedly this proceeding was conducted on an expedited basis but the parties did have an opportunity to conduct discovery.   I was not made aware of any delinquency on the part of Transwestern in supplying responses to discovery in regard to this issue.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highlight w:val="yellow"/>
        </w:rPr>
        <w:t>In the absence of contradictory evidence, I find no proof  that the awarded capacity was available without interruption, while firm transportation service under Transwestern's transportation recourse rates was not.</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center" w:pos="4725"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tab/>
      </w:r>
      <w:r>
        <w:rPr>
          <w:b/>
          <w:bCs/>
          <w:sz w:val="26"/>
          <w:szCs w:val="26"/>
        </w:rPr>
        <w:t>Conclusion</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The four issues ordered by the Commission to be heard in this proceeding are decided as discussed above.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720"/>
        <w:rPr>
          <w:sz w:val="26"/>
          <w:szCs w:val="26"/>
        </w:rPr>
      </w:pPr>
      <w:r>
        <w:rPr>
          <w:sz w:val="26"/>
          <w:szCs w:val="26"/>
        </w:rPr>
        <w:t xml:space="preserve"> </w:t>
      </w:r>
      <w:r>
        <w:rPr>
          <w:sz w:val="26"/>
          <w:szCs w:val="26"/>
        </w:rPr>
        <w:t xml:space="preserve">All arguments made by the participants which have not been discussed and/or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t xml:space="preserve">adopted by this decision, have been considered and rejected. </w:t>
        <w:tab/>
        <w:t xml:space="preserve">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720"/>
        <w:rPr>
          <w:sz w:val="26"/>
          <w:szCs w:val="26"/>
        </w:rPr>
      </w:pPr>
      <w:r>
        <w:rPr>
          <w:sz w:val="26"/>
          <w:szCs w:val="26"/>
        </w:rPr>
      </w:r>
    </w:p>
    <w:p>
      <w:pPr>
        <w:pStyle w:val="Normal"/>
        <w:widowControl/>
        <w:tabs>
          <w:tab w:val="clear" w:pos="720"/>
          <w:tab w:val="center" w:pos="4725" w:leader="none"/>
          <w:tab w:val="left" w:pos="5400" w:leader="none"/>
          <w:tab w:val="left" w:pos="6120" w:leader="none"/>
          <w:tab w:val="left" w:pos="6840" w:leader="none"/>
          <w:tab w:val="left" w:pos="7560" w:leader="none"/>
          <w:tab w:val="left" w:pos="8280" w:leader="none"/>
        </w:tabs>
        <w:ind w:end="720"/>
        <w:rPr/>
      </w:pPr>
      <w:r>
        <w:rPr>
          <w:sz w:val="26"/>
          <w:szCs w:val="26"/>
        </w:rPr>
        <w:tab/>
      </w:r>
      <w:r>
        <w:rPr>
          <w:b/>
          <w:bCs/>
          <w:sz w:val="26"/>
          <w:szCs w:val="26"/>
        </w:rPr>
        <w:t>Order</w:t>
      </w:r>
    </w:p>
    <w:p>
      <w:pPr>
        <w:pStyle w:val="Normal"/>
        <w:widowControl/>
        <w:tabs>
          <w:tab w:val="left" w:pos="0" w:leader="none"/>
          <w:tab w:val="left" w:pos="720" w:leader="none"/>
          <w:tab w:val="left" w:pos="1350" w:leader="none"/>
          <w:tab w:val="left" w:pos="1440" w:leader="none"/>
          <w:tab w:val="left" w:pos="198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720"/>
        <w:rPr>
          <w:b/>
          <w:bCs/>
          <w:sz w:val="26"/>
          <w:szCs w:val="26"/>
        </w:rPr>
      </w:pPr>
      <w:r>
        <w:rPr>
          <w:b/>
          <w:bCs/>
          <w:sz w:val="26"/>
          <w:szCs w:val="26"/>
        </w:rPr>
      </w:r>
    </w:p>
    <w:p>
      <w:pPr>
        <w:pStyle w:val="Normal"/>
        <w:widowControl/>
        <w:tabs>
          <w:tab w:val="left" w:pos="0" w:leader="none"/>
          <w:tab w:val="left" w:pos="720" w:leader="none"/>
          <w:tab w:val="left" w:pos="1350" w:leader="none"/>
          <w:tab w:val="left" w:pos="1440" w:leader="none"/>
          <w:tab w:val="left" w:pos="198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720"/>
        <w:rPr>
          <w:b/>
          <w:bCs/>
          <w:sz w:val="26"/>
          <w:szCs w:val="26"/>
        </w:rPr>
      </w:pPr>
      <w:r>
        <w:rPr>
          <w:b/>
          <w:bCs/>
          <w:sz w:val="26"/>
          <w:szCs w:val="26"/>
        </w:rPr>
        <w:t xml:space="preserve">IT IS ORDERED, </w:t>
      </w:r>
      <w:r>
        <w:rPr>
          <w:sz w:val="26"/>
          <w:szCs w:val="26"/>
        </w:rPr>
        <w:t>subject to review by the Commission on exceptions or on its own motion, as provided</w:t>
      </w:r>
      <w:r>
        <w:rPr>
          <w:b/>
          <w:bCs/>
          <w:sz w:val="26"/>
          <w:szCs w:val="26"/>
        </w:rPr>
        <w:t xml:space="preserve"> </w:t>
      </w:r>
      <w:r>
        <w:rPr>
          <w:sz w:val="26"/>
          <w:szCs w:val="26"/>
        </w:rPr>
        <w:t xml:space="preserve">in the Commission's Rules of Practice and Procedure, that within thirty days of the issuance of the Final Order of the Commission in this proceeding, all parties shall take the appropriate action to implement all the rulings in this Initial Decision, as adopted or modified by the Commission.    </w:t>
      </w:r>
    </w:p>
    <w:p>
      <w:pPr>
        <w:pStyle w:val="Normal"/>
        <w:widowControl/>
        <w:tabs>
          <w:tab w:val="left" w:pos="0" w:leader="none"/>
          <w:tab w:val="left" w:pos="720" w:leader="none"/>
          <w:tab w:val="left" w:pos="1350" w:leader="none"/>
          <w:tab w:val="left" w:pos="1440" w:leader="none"/>
          <w:tab w:val="left" w:pos="198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2160" w:end="720"/>
        <w:rPr>
          <w:b/>
          <w:bCs/>
          <w:sz w:val="26"/>
          <w:szCs w:val="26"/>
        </w:rPr>
      </w:pPr>
      <w:r>
        <w:rPr>
          <w:b/>
          <w:bCs/>
          <w:sz w:val="26"/>
          <w:szCs w:val="26"/>
        </w:rPr>
      </w:r>
    </w:p>
    <w:p>
      <w:pPr>
        <w:pStyle w:val="Normal"/>
        <w:widowControl/>
        <w:tabs>
          <w:tab w:val="left" w:pos="0" w:leader="none"/>
          <w:tab w:val="left" w:pos="720" w:leader="none"/>
          <w:tab w:val="left" w:pos="1350" w:leader="none"/>
          <w:tab w:val="left" w:pos="1440" w:leader="none"/>
          <w:tab w:val="left" w:pos="198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720"/>
        <w:rPr>
          <w:sz w:val="26"/>
          <w:szCs w:val="26"/>
        </w:rPr>
      </w:pPr>
      <w:r>
        <w:rPr>
          <w:sz w:val="26"/>
          <w:szCs w:val="26"/>
        </w:rPr>
        <w:t xml:space="preserve"> </w:t>
      </w:r>
    </w:p>
    <w:p>
      <w:pPr>
        <w:pStyle w:val="Normal"/>
        <w:widowControl/>
        <w:tabs>
          <w:tab w:val="left" w:pos="0" w:leader="none"/>
          <w:tab w:val="left" w:pos="720" w:leader="none"/>
          <w:tab w:val="left" w:pos="1350" w:leader="none"/>
          <w:tab w:val="left" w:pos="1440" w:leader="none"/>
          <w:tab w:val="left" w:pos="198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720"/>
        <w:rPr>
          <w:sz w:val="26"/>
          <w:szCs w:val="26"/>
        </w:rPr>
      </w:pPr>
      <w:r>
        <w:rPr>
          <w:sz w:val="26"/>
          <w:szCs w:val="26"/>
        </w:rPr>
      </w:r>
    </w:p>
    <w:p>
      <w:pPr>
        <w:pStyle w:val="Normal"/>
        <w:widowControl/>
        <w:tabs>
          <w:tab w:val="left" w:pos="0" w:leader="none"/>
          <w:tab w:val="left" w:pos="720" w:leader="none"/>
          <w:tab w:val="left" w:pos="1350" w:leader="none"/>
          <w:tab w:val="left" w:pos="1440" w:leader="none"/>
          <w:tab w:val="left" w:pos="198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720"/>
        <w:rPr>
          <w:sz w:val="26"/>
          <w:szCs w:val="26"/>
        </w:rPr>
      </w:pPr>
      <w:r>
        <w:rPr>
          <w:sz w:val="26"/>
          <w:szCs w:val="26"/>
        </w:rPr>
      </w:r>
    </w:p>
    <w:p>
      <w:pPr>
        <w:pStyle w:val="Normal"/>
        <w:widowControl/>
        <w:tabs>
          <w:tab w:val="left" w:pos="0" w:leader="none"/>
          <w:tab w:val="left" w:pos="720" w:leader="none"/>
          <w:tab w:val="left" w:pos="1350" w:leader="none"/>
          <w:tab w:val="left" w:pos="1440" w:leader="none"/>
          <w:tab w:val="left" w:pos="198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720"/>
        <w:jc w:val="center"/>
        <w:rPr>
          <w:b/>
          <w:bCs/>
          <w:sz w:val="26"/>
          <w:szCs w:val="26"/>
        </w:rPr>
      </w:pPr>
      <w:r>
        <w:rPr>
          <w:b/>
          <w:bCs/>
          <w:sz w:val="26"/>
          <w:szCs w:val="26"/>
        </w:rPr>
        <w:t xml:space="preserve">Jacob Leventhal, </w:t>
      </w:r>
    </w:p>
    <w:p>
      <w:pPr>
        <w:pStyle w:val="Normal"/>
        <w:widowControl/>
        <w:tabs>
          <w:tab w:val="left" w:pos="0" w:leader="none"/>
          <w:tab w:val="left" w:pos="720" w:leader="none"/>
          <w:tab w:val="left" w:pos="1350" w:leader="none"/>
          <w:tab w:val="left" w:pos="1440" w:leader="none"/>
          <w:tab w:val="left" w:pos="198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720"/>
        <w:jc w:val="center"/>
        <w:rPr>
          <w:b/>
          <w:bCs/>
          <w:sz w:val="26"/>
          <w:szCs w:val="26"/>
        </w:rPr>
      </w:pPr>
      <w:r>
        <w:rPr>
          <w:b/>
          <w:bCs/>
          <w:sz w:val="26"/>
          <w:szCs w:val="26"/>
        </w:rPr>
        <w:t>Presiding Administrative Law Judge</w:t>
      </w:r>
    </w:p>
    <w:sectPr>
      <w:headerReference w:type="default" r:id="rId2"/>
      <w:headerReference w:type="first" r:id="rId3"/>
      <w:footnotePr>
        <w:numFmt w:val="decimal"/>
      </w:footnotePr>
      <w:type w:val="nextPage"/>
      <w:pgSz w:w="12240" w:h="15840"/>
      <w:pgMar w:left="1354"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alatino">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 xml:space="preserve"> </w:t>
      </w:r>
      <w:r>
        <w:rPr>
          <w:sz w:val="26"/>
          <w:szCs w:val="26"/>
        </w:rPr>
        <w:t>The Joint Statement submitted by the participants was edited by me.</w:t>
      </w:r>
    </w:p>
  </w:footnote>
  <w:footnote w:id="3">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Style w:val="FootnoteCharacters"/>
        </w:rPr>
        <w:footnoteRef/>
      </w:r>
      <w:r>
        <w:rPr>
          <w:rFonts w:cs="Palatino" w:ascii="Palatino" w:hAnsi="Palatino"/>
          <w:sz w:val="26"/>
          <w:szCs w:val="26"/>
        </w:rPr>
        <w:t xml:space="preserve"> </w:t>
      </w:r>
      <w:r>
        <w:rPr>
          <w:rFonts w:cs="Palatino" w:ascii="Palatino" w:hAnsi="Palatino"/>
          <w:i/>
          <w:iCs/>
          <w:sz w:val="26"/>
          <w:szCs w:val="26"/>
        </w:rPr>
        <w:t>Transwestern Pipeline Company</w:t>
      </w:r>
      <w:r>
        <w:rPr>
          <w:rFonts w:cs="Palatino" w:ascii="Palatino" w:hAnsi="Palatino"/>
          <w:sz w:val="26"/>
          <w:szCs w:val="26"/>
        </w:rPr>
        <w:t>, 94 FERC ¶ 61,233 (2001).</w:t>
      </w:r>
    </w:p>
  </w:footnote>
  <w:footnote w:id="4">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Style w:val="FootnoteCharacters"/>
        </w:rPr>
        <w:footnoteRef/>
      </w:r>
      <w:r>
        <w:rPr>
          <w:rFonts w:cs="Palatino" w:ascii="Palatino" w:hAnsi="Palatino"/>
          <w:sz w:val="26"/>
          <w:szCs w:val="26"/>
        </w:rPr>
        <w:t xml:space="preserve"> </w:t>
      </w:r>
      <w:r>
        <w:rPr>
          <w:rFonts w:cs="Palatino" w:ascii="Palatino" w:hAnsi="Palatino"/>
          <w:i/>
          <w:iCs/>
          <w:sz w:val="26"/>
          <w:szCs w:val="26"/>
        </w:rPr>
        <w:t>Transwestern Pipeline Company</w:t>
      </w:r>
      <w:r>
        <w:rPr>
          <w:rFonts w:cs="Palatino" w:ascii="Palatino" w:hAnsi="Palatino"/>
          <w:sz w:val="26"/>
          <w:szCs w:val="26"/>
        </w:rPr>
        <w:t>, 94 FERC ¶ 61,337 (2001).</w:t>
      </w:r>
    </w:p>
  </w:footnote>
  <w:footnote w:id="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Style w:val="FootnoteCharacters"/>
        </w:rPr>
        <w:footnoteRef/>
      </w:r>
      <w:r>
        <w:rPr>
          <w:rFonts w:cs="Palatino" w:ascii="Palatino" w:hAnsi="Palatino"/>
          <w:sz w:val="26"/>
          <w:szCs w:val="26"/>
        </w:rPr>
        <w:t xml:space="preserve"> </w:t>
      </w:r>
      <w:r>
        <w:rPr>
          <w:rFonts w:cs="Palatino" w:ascii="Palatino" w:hAnsi="Palatino"/>
          <w:i/>
          <w:iCs/>
          <w:sz w:val="26"/>
          <w:szCs w:val="26"/>
        </w:rPr>
        <w:t>Transwestern Pipeline Company</w:t>
      </w:r>
      <w:r>
        <w:rPr>
          <w:rFonts w:cs="Palatino" w:ascii="Palatino" w:hAnsi="Palatino"/>
          <w:sz w:val="26"/>
          <w:szCs w:val="26"/>
        </w:rPr>
        <w:t>, 95 FERC ¶ 61,143 (2001).</w:t>
      </w:r>
    </w:p>
  </w:footnote>
  <w:footnote w:id="6">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Style w:val="FootnoteCharacters"/>
        </w:rPr>
        <w:footnoteRef/>
      </w:r>
      <w:r>
        <w:rPr>
          <w:rFonts w:cs="Palatino" w:ascii="Palatino" w:hAnsi="Palatino"/>
          <w:sz w:val="26"/>
          <w:szCs w:val="26"/>
        </w:rPr>
        <w:t xml:space="preserve"> </w:t>
      </w:r>
      <w:r>
        <w:rPr>
          <w:rFonts w:cs="Palatino" w:ascii="Palatino" w:hAnsi="Palatino"/>
          <w:i/>
          <w:iCs/>
          <w:sz w:val="26"/>
          <w:szCs w:val="26"/>
        </w:rPr>
        <w:t>Transwestern Pipeline Company</w:t>
      </w:r>
      <w:r>
        <w:rPr>
          <w:rFonts w:cs="Palatino" w:ascii="Palatino" w:hAnsi="Palatino"/>
          <w:sz w:val="26"/>
          <w:szCs w:val="26"/>
        </w:rPr>
        <w:t>, 96 FERC ¶ 61,138, at p. 61,595 (2001).  The July 26, 2001, order was later made subject to an Errata Notice to correct the docket designations referenced there.  The Errata Notice was issued August 7, 2001.</w:t>
      </w:r>
    </w:p>
  </w:footnote>
  <w:footnote w:id="7">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Style w:val="FootnoteCharacters"/>
        </w:rPr>
        <w:footnoteRef/>
      </w:r>
      <w:r>
        <w:rPr>
          <w:rFonts w:cs="Palatino" w:ascii="Palatino" w:hAnsi="Palatino"/>
          <w:szCs w:val="20"/>
        </w:rPr>
        <w:t xml:space="preserve"> </w:t>
      </w:r>
      <w:r>
        <w:rPr>
          <w:rFonts w:cs="Palatino" w:ascii="Palatino" w:hAnsi="Palatino"/>
          <w:i/>
          <w:iCs/>
          <w:sz w:val="26"/>
          <w:szCs w:val="26"/>
        </w:rPr>
        <w:t xml:space="preserve">Id. </w:t>
      </w:r>
      <w:r>
        <w:rPr>
          <w:rFonts w:cs="Palatino" w:ascii="Palatino" w:hAnsi="Palatino"/>
          <w:sz w:val="26"/>
          <w:szCs w:val="26"/>
        </w:rPr>
        <w:t>at ¶ 61,598 in Ordering Paragraph (D).</w:t>
      </w:r>
    </w:p>
  </w:footnote>
  <w:footnote w:id="8">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Style w:val="FootnoteCharacters"/>
        </w:rPr>
        <w:footnoteRef/>
      </w:r>
      <w:r>
        <w:rPr>
          <w:rFonts w:cs="Palatino" w:ascii="Palatino" w:hAnsi="Palatino"/>
          <w:sz w:val="26"/>
          <w:szCs w:val="26"/>
        </w:rPr>
        <w:t xml:space="preserve"> </w:t>
      </w:r>
      <w:r>
        <w:rPr>
          <w:rFonts w:cs="Palatino" w:ascii="Palatino" w:hAnsi="Palatino"/>
          <w:i/>
          <w:iCs/>
          <w:sz w:val="26"/>
          <w:szCs w:val="26"/>
        </w:rPr>
        <w:t xml:space="preserve">Id. </w:t>
      </w:r>
      <w:r>
        <w:rPr>
          <w:rFonts w:cs="Palatino" w:ascii="Palatino" w:hAnsi="Palatino"/>
          <w:sz w:val="26"/>
          <w:szCs w:val="26"/>
        </w:rPr>
        <w:t>at ¶ 61,598</w:t>
      </w:r>
      <w:r>
        <w:rPr>
          <w:rFonts w:cs="Palatino" w:ascii="Palatino" w:hAnsi="Palatino"/>
          <w:i/>
          <w:iCs/>
          <w:sz w:val="26"/>
          <w:szCs w:val="26"/>
        </w:rPr>
        <w:t>.</w:t>
      </w:r>
    </w:p>
  </w:footnote>
  <w:footnote w:id="9">
    <w:p>
      <w:pPr>
        <w:pStyle w:val="footnotetex"/>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FootnoteCharacters"/>
        </w:rPr>
        <w:footnoteRef/>
      </w:r>
      <w:r>
        <w:rPr>
          <w:rFonts w:cs="Palatino" w:ascii="Palatino" w:hAnsi="Palatino"/>
          <w:szCs w:val="20"/>
        </w:rPr>
        <w:t xml:space="preserve"> </w:t>
      </w:r>
      <w:r>
        <w:rPr>
          <w:rFonts w:cs="Palatino" w:ascii="Palatino" w:hAnsi="Palatino"/>
          <w:sz w:val="26"/>
          <w:szCs w:val="26"/>
        </w:rPr>
        <w:t>The Joint Statement of Issues was filed August 24, 2001 by all participants that filed testimony in the case.</w:t>
      </w:r>
    </w:p>
  </w:footnote>
  <w:footnote w:id="10">
    <w:p>
      <w:pPr>
        <w:pStyle w:val="Normal"/>
        <w:ind w:firstLine="720" w:start="90" w:end="0"/>
        <w:rPr/>
      </w:pPr>
      <w:r>
        <w:rPr>
          <w:rStyle w:val="FootnoteCharacters"/>
        </w:rPr>
        <w:footnoteRef/>
      </w:r>
      <w:r>
        <w:rPr>
          <w:sz w:val="26"/>
          <w:szCs w:val="26"/>
        </w:rPr>
        <w:t xml:space="preserve"> </w:t>
      </w:r>
      <w:r>
        <w:rPr>
          <w:sz w:val="26"/>
          <w:szCs w:val="26"/>
        </w:rPr>
        <w:t>See Ex. No. SCE-1.</w:t>
      </w:r>
    </w:p>
  </w:footnote>
  <w:footnote w:id="11">
    <w:p>
      <w:pPr>
        <w:pStyle w:val="Normal"/>
        <w:ind w:firstLine="720" w:start="90" w:end="0"/>
        <w:rPr/>
      </w:pPr>
      <w:r>
        <w:rPr>
          <w:rStyle w:val="FootnoteCharacters"/>
        </w:rPr>
        <w:footnoteRef/>
      </w:r>
      <w:r>
        <w:rPr>
          <w:sz w:val="26"/>
          <w:szCs w:val="26"/>
        </w:rPr>
        <w:t xml:space="preserve">  </w:t>
      </w:r>
      <w:r>
        <w:rPr>
          <w:sz w:val="26"/>
          <w:szCs w:val="26"/>
        </w:rPr>
        <w:t>Transwestern I.B. at 9</w:t>
      </w:r>
    </w:p>
  </w:footnote>
  <w:footnote w:id="12">
    <w:p>
      <w:pPr>
        <w:pStyle w:val="Normal"/>
        <w:ind w:firstLine="720" w:start="90" w:end="0"/>
        <w:rPr/>
      </w:pPr>
      <w:r>
        <w:rPr>
          <w:rStyle w:val="FootnoteCharacters"/>
        </w:rPr>
        <w:footnoteRef/>
      </w:r>
      <w:r>
        <w:rPr>
          <w:sz w:val="26"/>
          <w:szCs w:val="26"/>
        </w:rPr>
        <w:t xml:space="preserve"> </w:t>
      </w:r>
      <w:r>
        <w:rPr>
          <w:sz w:val="26"/>
          <w:szCs w:val="26"/>
        </w:rPr>
        <w:t xml:space="preserve">Index-to-index pricing ties the price of the service to the difference between the price of the commodity under published indices.  In this case, some of the contracts were for the transportation of gas from the San Juan basin to the SoCal Needles delivery point.  Transwestern's rates were based on the actual difference between the daily posted index price between the two points in the publication </w:t>
      </w:r>
      <w:r>
        <w:rPr>
          <w:i/>
          <w:iCs/>
          <w:sz w:val="26"/>
          <w:szCs w:val="26"/>
        </w:rPr>
        <w:t>Gas Daily</w:t>
      </w:r>
      <w:r>
        <w:rPr>
          <w:sz w:val="26"/>
          <w:szCs w:val="26"/>
        </w:rPr>
        <w:t xml:space="preserve">. Exh. TW-3 at 7.  </w:t>
      </w:r>
    </w:p>
  </w:footnote>
  <w:footnote w:id="13">
    <w:p>
      <w:pPr>
        <w:pStyle w:val="Normal"/>
        <w:ind w:firstLine="720" w:start="90" w:end="0"/>
        <w:rPr/>
      </w:pPr>
      <w:r>
        <w:rPr>
          <w:rStyle w:val="FootnoteCharacters"/>
        </w:rPr>
        <w:footnoteRef/>
      </w:r>
      <w:r>
        <w:rPr>
          <w:sz w:val="26"/>
          <w:szCs w:val="26"/>
        </w:rPr>
        <w:t>Richardson's data response describes why they chose the negotiated rate: "...[Richardson] is a conservative marketing company and the majority of its physical natural gas business is transacted on an index basis.  Therefore, to minimize any risk on transportation options, the "Gas Daily" daily index rate scenario allows [Richardson] to capture the market with minimal daily risk ... For this reason, [Richardson] elected this particular rate formula.  Ex. TW-12 at 2.  Similarly, SET's data response states that "Transwestern advised [SET] that this capacity was available for a short period of time due to operational conditions.  Transwestern could not guarantee delivery into the SoCal Gas system every day, so a rate formula reflective of [SET's] daily market offered a better price risk profile than would the recourse rate."  Ex. TW-13 at 2.</w:t>
      </w:r>
    </w:p>
  </w:footnote>
  <w:footnote w:id="14">
    <w:p>
      <w:pPr>
        <w:pStyle w:val="Normal"/>
        <w:ind w:firstLine="720" w:start="90" w:end="0"/>
        <w:rPr/>
      </w:pPr>
      <w:r>
        <w:rPr>
          <w:rStyle w:val="FootnoteCharacters"/>
        </w:rPr>
        <w:footnoteRef/>
      </w:r>
      <w:r>
        <w:rPr>
          <w:sz w:val="26"/>
          <w:szCs w:val="26"/>
        </w:rPr>
        <w:t>Transwestern witness Therese Lohman states that Transwestern had sold firm operational capacity to SET previously at the recourse rate so that SET was aware of this possibility.  Ex. TW-22 at ln. 16-18.</w:t>
      </w:r>
    </w:p>
  </w:footnote>
  <w:footnote w:id="15">
    <w:p>
      <w:pPr>
        <w:pStyle w:val="Normal"/>
        <w:ind w:firstLine="720" w:start="90" w:end="0"/>
        <w:rPr/>
      </w:pPr>
      <w:r>
        <w:rPr>
          <w:rStyle w:val="FootnoteCharacters"/>
        </w:rPr>
        <w:footnoteRef/>
      </w:r>
      <w:r>
        <w:rPr>
          <w:sz w:val="26"/>
          <w:szCs w:val="26"/>
        </w:rPr>
        <w:t>Id.</w:t>
      </w:r>
    </w:p>
  </w:footnote>
  <w:footnote w:id="16">
    <w:p>
      <w:pPr>
        <w:pStyle w:val="Normal"/>
        <w:ind w:firstLine="720" w:start="90" w:end="0"/>
        <w:rPr/>
      </w:pPr>
      <w:r>
        <w:rPr>
          <w:rStyle w:val="FootnoteCharacters"/>
        </w:rPr>
        <w:footnoteRef/>
      </w:r>
      <w:r>
        <w:rPr>
          <w:sz w:val="26"/>
          <w:szCs w:val="26"/>
        </w:rPr>
        <w:t>LTF service is interruptible up to ten days a month.</w:t>
      </w:r>
    </w:p>
  </w:footnote>
  <w:footnote w:id="17">
    <w:p>
      <w:pPr>
        <w:pStyle w:val="Normal"/>
        <w:ind w:firstLine="720" w:start="90" w:end="0"/>
        <w:rPr/>
      </w:pPr>
      <w:r>
        <w:rPr>
          <w:rStyle w:val="FootnoteCharacters"/>
        </w:rPr>
        <w:footnoteRef/>
      </w:r>
      <w:r>
        <w:rPr>
          <w:sz w:val="26"/>
          <w:szCs w:val="26"/>
          <w:highlight w:val="yellow"/>
        </w:rPr>
        <w:t>Pipelines are reminded that, pursuant to Sections 284.8(b) and 284.9(b), they are expected to negotiate rates with their customers in a manner that is not unduly discriminatory and that treats similarly situated shippers similarly.</w:t>
      </w:r>
      <w:r>
        <w:rPr>
          <w:sz w:val="26"/>
          <w:szCs w:val="26"/>
        </w:rPr>
        <w:t xml:space="preserve">  Policy Statement, 74 FERC p61,076 at 61,242.</w:t>
      </w:r>
    </w:p>
  </w:footnote>
  <w:footnote w:id="18">
    <w:p>
      <w:pPr>
        <w:pStyle w:val="Normal"/>
        <w:ind w:firstLine="720" w:start="90" w:end="0"/>
        <w:rPr/>
      </w:pPr>
      <w:r>
        <w:rPr>
          <w:rStyle w:val="FootnoteCharacters"/>
        </w:rPr>
        <w:footnoteRef/>
      </w:r>
      <w:r>
        <w:rPr>
          <w:sz w:val="26"/>
          <w:szCs w:val="26"/>
        </w:rPr>
        <w:t xml:space="preserve">In Transwestern's witness Theresa Lohman's rebuttal testimony she states "After the capacity had been posted, I spoke with Ms. Katz and we discussed the positing and the possibility of an index-based rate.  In that discussion, Ms. Katz proposed the terms of the rate that ultimately was agreed to.  Ex. TW-22 at 7, ln. 20-22.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90" w:end="0"/>
      <w:rPr>
        <w:sz w:val="26"/>
        <w:szCs w:val="26"/>
      </w:rPr>
    </w:pPr>
    <w:r>
      <w:rPr>
        <w:sz w:val="26"/>
        <w:szCs w:val="26"/>
      </w:rPr>
      <w:t>Docket No. RP97-288-009, et al.</w:t>
    </w:r>
    <w:r>
      <mc:AlternateContent>
        <mc:Choice Requires="wps">
          <w:drawing>
            <wp:anchor behindDoc="0" distT="0" distB="0" distL="0" distR="0" simplePos="0" locked="0" layoutInCell="0" allowOverlap="1" relativeHeight="18">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sz w:val="24"/>
                            </w:rPr>
                          </w:pPr>
                          <w:r>
                            <w:rPr>
                              <w:sz w:val="24"/>
                            </w:rPr>
                            <w:fldChar w:fldCharType="begin"/>
                          </w:r>
                          <w:r>
                            <w:rPr>
                              <w:sz w:val="24"/>
                            </w:rPr>
                            <w:instrText xml:space="preserve"> PAGE </w:instrText>
                          </w:r>
                          <w:r>
                            <w:rPr>
                              <w:sz w:val="24"/>
                            </w:rPr>
                            <w:fldChar w:fldCharType="separate"/>
                          </w:r>
                          <w:r>
                            <w:rPr>
                              <w:sz w:val="24"/>
                            </w:rPr>
                            <w:t>18</w:t>
                          </w:r>
                          <w:r>
                            <w:rPr>
                              <w:sz w:val="24"/>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sz w:val="24"/>
                      </w:rPr>
                    </w:pPr>
                    <w:r>
                      <w:rPr>
                        <w:sz w:val="24"/>
                      </w:rPr>
                      <w:fldChar w:fldCharType="begin"/>
                    </w:r>
                    <w:r>
                      <w:rPr>
                        <w:sz w:val="24"/>
                      </w:rPr>
                      <w:instrText xml:space="preserve"> PAGE </w:instrText>
                    </w:r>
                    <w:r>
                      <w:rPr>
                        <w:sz w:val="24"/>
                      </w:rPr>
                      <w:fldChar w:fldCharType="separate"/>
                    </w:r>
                    <w:r>
                      <w:rPr>
                        <w:sz w:val="24"/>
                      </w:rPr>
                      <w:t>18</w:t>
                    </w:r>
                    <w:r>
                      <w:rPr>
                        <w:sz w:val="24"/>
                      </w:rPr>
                      <w:fldChar w:fldCharType="end"/>
                    </w:r>
                  </w:p>
                </w:txbxContent>
              </v:textbox>
              <w10:wrap type="topAndBottom"/>
            </v:rect>
          </w:pict>
        </mc:Fallback>
      </mc:AlternateContent>
    </w:r>
  </w:p>
  <w:p>
    <w:pPr>
      <w:pStyle w:val="Normal"/>
      <w:spacing w:lineRule="exact" w:line="240"/>
      <w:rPr>
        <w:sz w:val="26"/>
        <w:szCs w:val="26"/>
      </w:rPr>
    </w:pPr>
    <w:r>
      <w:rPr>
        <w:sz w:val="26"/>
        <w:szCs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mirrorMargins/>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
    <w:name w:val="footnote ref"/>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
    <w:name w:val="footnote tex"/>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uppressLineNumbers/>
      <w:ind w:hanging="340" w:start="340"/>
    </w:pPr>
    <w:rPr>
      <w:sz w:val="20"/>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2001-10-24T19:57:00Z</dcterms:created>
  <dc:creator>Rebecca W. Cantrell</dc:creator>
  <dc:description/>
  <dc:language>en-CA</dc:language>
  <cp:lastModifiedBy>Rebecca W. Cantrell</cp:lastModifiedBy>
  <dcterms:modified xsi:type="dcterms:W3CDTF">2001-10-24T20:05:00Z</dcterms:modified>
  <cp:revision>3</cp:revision>
  <dc:subject/>
  <dc:title>97 FERC   63, 010</dc:title>
</cp:coreProperties>
</file>