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 RP97-288-017</w:t>
      </w:r>
    </w:p>
    <w:p>
      <w:pPr>
        <w:pStyle w:val="Normal"/>
        <w:jc w:val="both"/>
        <w:rPr>
          <w:b/>
        </w:rPr>
      </w:pPr>
      <w:r>
        <w:rPr>
          <w:b/>
        </w:rPr>
        <w:tab/>
        <w:tab/>
        <w:tab/>
        <w:tab/>
        <w:tab/>
        <w:tab/>
        <w:tab/>
        <w:tab/>
        <w:tab/>
        <w:tab/>
        <w:t xml:space="preserve">         </w:t>
      </w:r>
    </w:p>
    <w:p>
      <w:pPr>
        <w:pStyle w:val="Normal"/>
        <w:jc w:val="both"/>
        <w:rPr>
          <w:b/>
        </w:rPr>
      </w:pPr>
      <w:r>
        <w:rPr>
          <w:b/>
        </w:rPr>
        <w:tab/>
        <w:tab/>
        <w:tab/>
      </w:r>
    </w:p>
    <w:p>
      <w:pPr>
        <w:pStyle w:val="Normal"/>
        <w:jc w:val="both"/>
        <w:rPr>
          <w:b/>
        </w:rPr>
      </w:pPr>
      <w:r>
        <w:rPr>
          <w:b/>
        </w:rPr>
      </w:r>
    </w:p>
    <w:p>
      <w:pPr>
        <w:pStyle w:val="Normal"/>
        <w:jc w:val="center"/>
        <w:rPr>
          <w:b/>
        </w:rPr>
      </w:pPr>
      <w:r>
        <w:rPr>
          <w:b/>
        </w:rPr>
        <w:t xml:space="preserve">ANSWER OF </w:t>
      </w:r>
    </w:p>
    <w:p>
      <w:pPr>
        <w:pStyle w:val="Normal"/>
        <w:jc w:val="center"/>
        <w:rPr>
          <w:b/>
        </w:rPr>
      </w:pPr>
      <w:r>
        <w:rPr>
          <w:b/>
        </w:rPr>
        <w:t>TRANSWESTERN PIPELINE COMPANY</w:t>
      </w:r>
    </w:p>
    <w:p>
      <w:pPr>
        <w:pStyle w:val="Normal"/>
        <w:jc w:val="center"/>
        <w:rPr>
          <w:b/>
        </w:rPr>
      </w:pPr>
      <w:r>
        <w:rPr>
          <w:b/>
        </w:rPr>
        <w:t xml:space="preserve">  </w:t>
      </w:r>
      <w:r>
        <w:rPr>
          <w:b/>
        </w:rPr>
        <w:t xml:space="preserve">TO PROTEST  </w:t>
      </w:r>
    </w:p>
    <w:p>
      <w:pPr>
        <w:pStyle w:val="Normal"/>
        <w:jc w:val="center"/>
        <w:rPr>
          <w:b/>
        </w:rPr>
      </w:pPr>
      <w:r>
        <w:rPr>
          <w:b/>
        </w:rPr>
      </w:r>
    </w:p>
    <w:p>
      <w:pPr>
        <w:pStyle w:val="Normal"/>
        <w:spacing w:lineRule="auto" w:line="480"/>
        <w:jc w:val="both"/>
        <w:rPr/>
      </w:pPr>
      <w:r>
        <w:rPr>
          <w:b/>
        </w:rPr>
        <w:tab/>
      </w:r>
      <w:r>
        <w:rPr/>
        <w:t>Transwestern Pipeline Company (“Transwestern”), pursuant to Rule 213 of the Commission’s Rules of Practice and Procedure, hereby files its answer to the protest (“Protest”) filed on November 13, 2001 by the Public Utilities Commission of the State of California (“CPUC”) in the above-captioned proceeding.</w:t>
      </w:r>
      <w:r>
        <w:rPr>
          <w:rStyle w:val="FootnoteCharacters"/>
          <w:rStyle w:val="FootnoteReference"/>
        </w:rPr>
        <w:footnoteReference w:id="2"/>
      </w: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In compliance with the negotiated rate authority granted by the Commission on April 11, 1997,</w:t>
      </w:r>
      <w:r>
        <w:rPr>
          <w:rStyle w:val="FootnoteCharacters"/>
          <w:rStyle w:val="FootnoteReference"/>
        </w:rPr>
        <w:footnoteReference w:id="3"/>
      </w:r>
      <w:r>
        <w:rPr/>
        <w:t xml:space="preserve"> Transwestern filed in the above-captioned proceeding on October 31, 2001, revised tariff sheets for a negotiated rate transaction with U.S. Gas Transmission, Inc./Aquila LP (“USGT”)</w:t>
      </w:r>
      <w:r>
        <w:rPr>
          <w:rStyle w:val="FootnoteCharacters"/>
          <w:rStyle w:val="FootnoteReference"/>
        </w:rPr>
        <w:footnoteReference w:id="4"/>
      </w:r>
      <w:r>
        <w:rPr/>
        <w:t>. The revised tariff sheets reflect an amendment to an existing transportation agreement between Transwestern and USGT. On November 13, 2001, the CPUC filed the Protest, in which the CPUC requests that the Commission conduct an investigation to determine whether continued use of negotiated rates by Transwestern is consistent with the Commission’s regulations and the policies expressed in the Commission’s statement on alternatives to cost-of-service ratemaking.</w:t>
      </w:r>
      <w:r>
        <w:rPr>
          <w:rStyle w:val="FootnoteCharacters"/>
          <w:rStyle w:val="FootnoteReference"/>
        </w:rPr>
        <w:footnoteReference w:id="5"/>
      </w:r>
      <w:r>
        <w:rPr/>
        <w:t xml:space="preserve">  In support of this request, the CPUC alleges that Transwestern’s use of a negotiated rate in this proceeding amounts to an attempt by Transwestern to transform itself into a pipeline charging market-based rates for a significant part of its capacity. As demonstrated below, there is no legal, policy or factual basis for the Commission to grant the CPUC’s request for an investigation. Further, the Commission should reject the Protest as an inappropriate challenge to the Commission’s alternative ratemaking policy. The Protest raises no issues unique to Transwestern or its system. Instead, it evidences a general disdain for negotiated rates based on published indices. To the extent that the Commission desires to reconsider its policy on negotiated rates, a generic proceeding should be commenced rather than the Commission conducting an investigation in this proceeding.</w:t>
      </w:r>
    </w:p>
    <w:p>
      <w:pPr>
        <w:pStyle w:val="Normal"/>
        <w:spacing w:lineRule="auto" w:line="480"/>
        <w:jc w:val="center"/>
        <w:rPr>
          <w:b/>
        </w:rPr>
      </w:pPr>
      <w:r>
        <w:rPr>
          <w:b/>
        </w:rPr>
        <w:t>II.</w:t>
      </w:r>
    </w:p>
    <w:p>
      <w:pPr>
        <w:pStyle w:val="Normal"/>
        <w:jc w:val="center"/>
        <w:rPr>
          <w:b/>
        </w:rPr>
      </w:pPr>
      <w:r>
        <w:rPr>
          <w:b/>
        </w:rPr>
        <w:t>DISCUSSION</w:t>
      </w:r>
    </w:p>
    <w:p>
      <w:pPr>
        <w:pStyle w:val="Normal"/>
        <w:jc w:val="center"/>
        <w:rPr>
          <w:b/>
        </w:rPr>
      </w:pPr>
      <w:r>
        <w:rPr>
          <w:b/>
        </w:rPr>
      </w:r>
    </w:p>
    <w:p>
      <w:pPr>
        <w:pStyle w:val="Normal"/>
        <w:spacing w:lineRule="auto" w:line="480"/>
        <w:jc w:val="both"/>
        <w:rPr/>
      </w:pPr>
      <w:r>
        <w:rPr/>
        <w:tab/>
        <w:t>The CPUC fails to recognize the critical difference between market-based rates and negotiated rates. To obtain market-based rates, a pipeline must show that it “lacks significant market power,”</w:t>
      </w:r>
      <w:r>
        <w:rPr>
          <w:rStyle w:val="FootnoteCharacters"/>
          <w:rStyle w:val="FootnoteReference"/>
        </w:rPr>
        <w:footnoteReference w:id="6"/>
      </w:r>
      <w:r>
        <w:rPr/>
        <w:t xml:space="preserve"> and, only if such a showing is made, is the pipeline allowed to charge its customers market-based rates </w:t>
      </w:r>
      <w:r>
        <w:rPr>
          <w:u w:val="single"/>
        </w:rPr>
        <w:t>without offering a recourse rate as a backstop</w:t>
      </w:r>
      <w:r>
        <w:rPr/>
        <w:t xml:space="preserve">.  In contrast, negotiated rates </w:t>
      </w:r>
      <w:r>
        <w:rPr>
          <w:u w:val="single"/>
        </w:rPr>
        <w:t>assume the pipeline has market power but require the availability of recourse rates</w:t>
      </w:r>
      <w:r>
        <w:rPr/>
        <w:t xml:space="preserve"> to “prevent pipelines from exercising market power by assuring that the customer can fall back to cost-based, traditional service if the pipeline unilaterally demands excessive prices or withholds service.”</w:t>
      </w:r>
      <w:r>
        <w:rPr>
          <w:rStyle w:val="FootnoteCharacters"/>
          <w:rStyle w:val="FootnoteReference"/>
        </w:rPr>
        <w:footnoteReference w:id="7"/>
      </w:r>
      <w:r>
        <w:rPr/>
        <w:t xml:space="preserve"> In short, when recourse rates are available, a negotiated rate above the pipeline’s recourse rate is entirely lawful under the Commission’s negotiated rate policy and is entirely separate and distinct from a market-based rate.</w:t>
      </w:r>
    </w:p>
    <w:p>
      <w:pPr>
        <w:pStyle w:val="Normal"/>
        <w:spacing w:lineRule="auto" w:line="480"/>
        <w:jc w:val="both"/>
        <w:rPr/>
      </w:pPr>
      <w:r>
        <w:rPr/>
        <w:tab/>
        <w:t xml:space="preserve">In this case, recourse rates were available to USGT and to all other potential shippers on Transwestern’s system.  Transwestern offered the capacity at issue on its web site at the recourse rate in accordance with Transwestern’s tariff and Commission policy. When Transwestern posted this capacity on its web site, it gave notice to all potential shippers of the available firm capacity. Any potential shipper could have requested this capacity at the firm recourse rates in Transwestern’s tariff, which also are posted on Transwestern’s web site. </w:t>
      </w:r>
    </w:p>
    <w:p>
      <w:pPr>
        <w:pStyle w:val="Normal"/>
        <w:spacing w:lineRule="auto" w:line="480"/>
        <w:jc w:val="both"/>
        <w:rPr/>
      </w:pPr>
      <w:r>
        <w:rPr/>
        <w:tab/>
        <w:t xml:space="preserve">When no shipper offered to pay the recourse rate for this capacity during the period that the capacity was posted, Transwestern and USGT subsequently agreed to the rates described in Transwestern’s filing in this proceeding.  </w:t>
      </w:r>
    </w:p>
    <w:p>
      <w:pPr>
        <w:pStyle w:val="Normal"/>
        <w:spacing w:lineRule="auto" w:line="480"/>
        <w:jc w:val="both"/>
        <w:rPr/>
      </w:pPr>
      <w:r>
        <w:rPr/>
        <w:tab/>
        <w:t>In light of the fact that the recourse rate was available to any potential shipper, Transwestern’s and USGT’s agreement to implement a negotiated rate in this case is entirely consistent with the Commission’s negotiated rate policy. The CPUC seeks to confuse the situation by referring to this negotiated rate as a “</w:t>
      </w:r>
      <w:r>
        <w:rPr>
          <w:u w:val="single"/>
        </w:rPr>
        <w:t>de facto</w:t>
      </w:r>
      <w:r>
        <w:rPr/>
        <w:t>” market-based rate.</w:t>
      </w:r>
      <w:r>
        <w:rPr>
          <w:rStyle w:val="FootnoteCharacters"/>
          <w:rStyle w:val="FootnoteReference"/>
        </w:rPr>
        <w:footnoteReference w:id="8"/>
      </w:r>
      <w:r>
        <w:rPr/>
        <w:t xml:space="preserve">  As discussed above, however, this ignores the distinction that the Commission itself has made between negotiated and market-based rates.</w:t>
      </w:r>
      <w:r>
        <w:rPr>
          <w:rStyle w:val="FootnoteCharacters"/>
          <w:rStyle w:val="FootnoteReference"/>
        </w:rPr>
        <w:footnoteReference w:id="9"/>
      </w:r>
      <w:r>
        <w:rPr/>
        <w:t xml:space="preserve"> The fact that a negotiated rate may fluctuate or at some point or exceed the recourse rate does not make the negotiated rate a market-based rate.</w:t>
      </w:r>
    </w:p>
    <w:p>
      <w:pPr>
        <w:pStyle w:val="BodyText3"/>
        <w:spacing w:lineRule="auto" w:line="480"/>
        <w:rPr/>
      </w:pPr>
      <w:r>
        <w:rPr/>
        <w:tab/>
        <w:t>The Commission’s negotiated rate policy expressly provides for the freedom for the pipeline and the shipper to negotiate rates that differ from the pipeline’s recourse rates. Negotiated rates may be higher than the maximum tariff rates or lower than the minimum tariff rates.</w:t>
      </w:r>
      <w:r>
        <w:rPr>
          <w:rStyle w:val="FootnoteCharacters"/>
          <w:rStyle w:val="FootnoteReference"/>
        </w:rPr>
        <w:footnoteReference w:id="10"/>
      </w:r>
      <w:r>
        <w:rPr/>
        <w:t xml:space="preserve"> The existence of the recourse rate, in and of itself, is the shipper’s protection from the potential exercise of market power by the pipeline. Transwestern did not exercise market power here because it did not refuse to provide service at the recourse rate. </w:t>
      </w:r>
    </w:p>
    <w:p>
      <w:pPr>
        <w:pStyle w:val="BodyText3"/>
        <w:spacing w:lineRule="auto" w:line="480"/>
        <w:rPr/>
      </w:pPr>
      <w:r>
        <w:rPr/>
        <w:tab/>
        <w:t>The CPUC attempts to short-circuit this policy by alleging that “questions have arisen regarding discriminatory treatment of shippers in the process of noticing and awarding capacity…”</w:t>
      </w:r>
      <w:r>
        <w:rPr>
          <w:rStyle w:val="FootnoteCharacters"/>
          <w:rStyle w:val="FootnoteReference"/>
        </w:rPr>
        <w:footnoteReference w:id="11"/>
      </w:r>
      <w:r>
        <w:rPr/>
        <w:t xml:space="preserve">  Presumably, the CPUC is referring to the proceeding in Docket Nos. RP97-288-009, et al., in which the Commission is conducting an investigation into the negotiated rates charged by Transwestern to other firm shippers. What the CPUC neglects to mention is that Judge Leventhal, the presiding administrative law judge in that proceeding, found no evidence of discriminatory treatment and concluded that Transwestern awarded the capacity at issue in a fair and nondiscriminatory manner.</w:t>
      </w:r>
      <w:r>
        <w:rPr>
          <w:rStyle w:val="FootnoteCharacters"/>
          <w:rStyle w:val="FootnoteReference"/>
        </w:rPr>
        <w:footnoteReference w:id="12"/>
      </w:r>
      <w:r>
        <w:rPr/>
        <w:t xml:space="preserve"> In this proceeding, no shipper has alleged that the recourse rate was not available or that capacity was awarded on a discriminatory basis. The CPUC offers nothing more than speculation and innuendo. Accordingly, no basis exists for questioning Transwestern’s awarding of capacity or the availability of the recourse rate. </w:t>
      </w:r>
    </w:p>
    <w:p>
      <w:pPr>
        <w:pStyle w:val="Normal"/>
        <w:spacing w:lineRule="auto" w:line="480" w:before="0" w:after="100"/>
        <w:jc w:val="both"/>
        <w:rPr/>
      </w:pPr>
      <w:r>
        <w:rPr>
          <w:b/>
        </w:rPr>
        <w:tab/>
      </w:r>
      <w:r>
        <w:rPr>
          <w:bCs/>
        </w:rPr>
        <w:t xml:space="preserve">In support of its allegation that Transwestern is attempting to transform itself into a </w:t>
      </w:r>
      <w:r>
        <w:rPr>
          <w:bCs/>
          <w:u w:val="single"/>
        </w:rPr>
        <w:t>de facto</w:t>
      </w:r>
      <w:r>
        <w:rPr>
          <w:bCs/>
        </w:rPr>
        <w:t xml:space="preserve"> market-rate based pipeline, the CPUC suggests that the USGT volumes subject to the  negotiated rate represent “approximately 23% of Transwestern’s combined eastward and westward capacity of 1.7 Bcf/d and approximately 40% of its westward capacity of 1.09 Bcf/d to California.” This allegation is misleading because it completely ignores the fact that the negotiated rate applies only to scheduled volumes delivered to </w:t>
      </w:r>
      <w:r>
        <w:rPr>
          <w:bCs/>
          <w:u w:val="single"/>
        </w:rPr>
        <w:t>alternate</w:t>
      </w:r>
      <w:r>
        <w:rPr>
          <w:bCs/>
        </w:rPr>
        <w:t xml:space="preserve"> delivery points. In fact, the volumes subject to the negotiated rate represent 0% of the combined eastward and westward primary firm capacity and 0% of the westward primary firm capacity to California.</w:t>
      </w:r>
      <w:r>
        <w:rPr>
          <w:rStyle w:val="FootnoteCharacters"/>
          <w:rStyle w:val="FootnoteReference"/>
          <w:bCs/>
        </w:rPr>
        <w:footnoteReference w:id="13"/>
      </w:r>
      <w:r>
        <w:rPr>
          <w:bCs/>
        </w:rPr>
        <w:t xml:space="preserve">    </w:t>
      </w:r>
    </w:p>
    <w:p>
      <w:pPr>
        <w:pStyle w:val="Normal"/>
        <w:spacing w:lineRule="auto" w:line="480" w:before="0" w:after="100"/>
        <w:ind w:firstLine="720" w:end="0"/>
        <w:jc w:val="both"/>
        <w:rPr>
          <w:bCs/>
        </w:rPr>
      </w:pPr>
      <w:r>
        <w:rPr>
          <w:bCs/>
        </w:rPr>
        <w:t xml:space="preserve">The Protest is a thinly-veiled attempt by the CPUC to undermine the Commission’s negotiated rate policy. It is clear from the Protest that the CPUC does not approve of the Commission’s policy. This proceeding, however, is not the appropriate forum in which the Commission should attempt to address the CPUC’s concerns. Transwestern has complied in all respects with the Commission’s  policy. If the CPUC wishes to bring about changes in that policy, it must do so in a generic proceeding in which all interested parties have the opportunity to participate. The CPUC has demonstrated nothing specific to Transwestern’s system that would justify disregarding the negotiated rate policy for Transwestern and Transwestern alone. </w:t>
      </w:r>
    </w:p>
    <w:p>
      <w:pPr>
        <w:pStyle w:val="BodyText3"/>
        <w:ind w:start="720" w:end="0"/>
        <w:rPr>
          <w:bCs/>
        </w:rPr>
      </w:pPr>
      <w:r>
        <w:rPr>
          <w:bCs/>
        </w:rPr>
        <w:t>The CPUC alleges that there is an “increasing use of negotiated rates” by Transwestern.</w:t>
      </w:r>
    </w:p>
    <w:p>
      <w:pPr>
        <w:pStyle w:val="BodyText3"/>
        <w:ind w:start="720" w:end="0"/>
        <w:rPr>
          <w:bCs/>
        </w:rPr>
      </w:pPr>
      <w:r>
        <w:rPr>
          <w:bCs/>
        </w:rPr>
      </w:r>
    </w:p>
    <w:p>
      <w:pPr>
        <w:pStyle w:val="BodyText3"/>
        <w:spacing w:lineRule="auto" w:line="480"/>
        <w:rPr>
          <w:bCs/>
        </w:rPr>
      </w:pPr>
      <w:r>
        <w:rPr>
          <w:bCs/>
        </w:rPr>
        <w:t xml:space="preserve">However, the Commission has imposed no limits on the number of transactions that involve negotiated rates. One of the goals of the Commission’s policy is to provide increased flexibility to shippers. Negotiated rates may be higher than the maximum tariff rates or lower than the minimum tariff rates. This promotes the full utilization of available capacity, something which is </w:t>
      </w:r>
      <w:r>
        <w:br w:type="page"/>
      </w:r>
    </w:p>
    <w:p>
      <w:pPr>
        <w:pStyle w:val="BodyText3"/>
        <w:spacing w:lineRule="auto" w:line="480"/>
        <w:rPr>
          <w:bCs/>
        </w:rPr>
      </w:pPr>
      <w:r>
        <w:rPr>
          <w:bCs/>
        </w:rPr>
        <w:t>in the interest of all shippers. The CPUC, in fact, completely ignores the fact that negotiated rates are preferred by some shippers. In light of this and the Commission’s policy, the use of negotiated rates should be encouraged, not discouraged. Yet, the CPUC would bring an end to the Commission’s policy.</w:t>
      </w:r>
    </w:p>
    <w:p>
      <w:pPr>
        <w:pStyle w:val="BodyText3"/>
        <w:spacing w:lineRule="auto" w:line="480"/>
        <w:rPr/>
      </w:pPr>
      <w:r>
        <w:rPr/>
        <w:tab/>
        <w:t>Finally, the CPUC argues that, because the Commission is conducting an investigation of other Transwestern negotiated rate filings in Docket Nos. RP97-288-009, et al., a similar investigation should be conducted in this proceeding. This, of course, ignores the fact that the CPUC has established no basis whatsoever for such an investigation with regard to this filing. The mere fact that the Commission is conducting an investigation in a completely separate proceeding in no way justifies an investigation in this proceeding, particularly when the evidence in the other proceeding and the findings of the presiding judge overwhelmingly reject CPUC’s claims. It is burdensome and unfair to Transwestern to require that it be the subject of an investigation each time it makes a negotiated rate filing. Such a practice would, in fact, be contrary to the Commission’s negotiated rate policy and Transwestern’s tariff, which expressly authorize the use of negotiated rates. Evidently, the CPUC is trying to accomplish indirectly  what it was unable to do directly: thwart implementation of the Commission’s negotiated rate policy on Transwestern’s system.</w:t>
      </w:r>
      <w:r>
        <w:br w:type="page"/>
      </w:r>
    </w:p>
    <w:p>
      <w:pPr>
        <w:pStyle w:val="BodyText3"/>
        <w:spacing w:lineRule="auto" w:line="480"/>
        <w:rPr/>
      </w:pPr>
      <w:r>
        <w:rPr/>
      </w:r>
    </w:p>
    <w:p>
      <w:pPr>
        <w:pStyle w:val="Normal"/>
        <w:spacing w:lineRule="auto" w:line="480"/>
        <w:jc w:val="both"/>
        <w:rPr/>
      </w:pPr>
      <w:r>
        <w:rPr/>
        <w:tab/>
        <w:t>WHEREFORE, for the foregoing reasons, Transwestern respectfully requests the Commission to reject the CPUC’s protest and to approve the negotiated rate filing that is the subject of this proceeding.</w:t>
      </w:r>
    </w:p>
    <w:p>
      <w:pPr>
        <w:pStyle w:val="Normal"/>
        <w:spacing w:lineRule="auto" w:line="480"/>
        <w:jc w:val="both"/>
        <w:rPr/>
      </w:pPr>
      <w:r>
        <w:rPr/>
      </w:r>
    </w:p>
    <w:p>
      <w:pPr>
        <w:pStyle w:val="Normal"/>
        <w:spacing w:lineRule="auto" w:line="480"/>
        <w:ind w:firstLine="720" w:start="3600" w:end="0"/>
        <w:jc w:val="both"/>
        <w:rPr/>
      </w:pPr>
      <w:r>
        <w:rPr/>
      </w:r>
    </w:p>
    <w:p>
      <w:pPr>
        <w:pStyle w:val="Normal"/>
        <w:spacing w:lineRule="auto" w:line="480"/>
        <w:ind w:firstLine="720" w:start="3600" w:end="0"/>
        <w:jc w:val="both"/>
        <w:rPr/>
      </w:pPr>
      <w:r>
        <w:rPr/>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tabs>
          <w:tab w:val="clear" w:pos="720"/>
          <w:tab w:val="left" w:pos="4590" w:leader="none"/>
        </w:tabs>
        <w:rPr/>
      </w:pPr>
      <w:r>
        <w:rPr/>
        <w:tab/>
        <w:t>J. Gregory Porter</w:t>
      </w:r>
    </w:p>
    <w:p>
      <w:pPr>
        <w:pStyle w:val="Normal"/>
        <w:tabs>
          <w:tab w:val="clear" w:pos="720"/>
          <w:tab w:val="left" w:pos="3600" w:leader="none"/>
          <w:tab w:val="left" w:pos="3960" w:leader="none"/>
          <w:tab w:val="left" w:pos="4590" w:leader="none"/>
        </w:tabs>
        <w:ind w:end="-180"/>
        <w:rPr/>
      </w:pPr>
      <w:r>
        <w:rPr/>
        <w:tab/>
        <w:tab/>
        <w:tab/>
        <w:t>Assistant General Counsel</w:t>
      </w:r>
    </w:p>
    <w:p>
      <w:pPr>
        <w:pStyle w:val="Normal"/>
        <w:tabs>
          <w:tab w:val="clear" w:pos="720"/>
          <w:tab w:val="left" w:pos="3600" w:leader="none"/>
          <w:tab w:val="left" w:pos="3960" w:leader="none"/>
          <w:tab w:val="left" w:pos="4590" w:leader="none"/>
        </w:tabs>
        <w:ind w:end="-180"/>
        <w:rPr/>
      </w:pPr>
      <w:r>
        <w:rPr/>
        <w:tab/>
        <w:tab/>
        <w:tab/>
        <w:t>William D. Rapp</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Transwestern Pipeline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398-7406</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November 21, 2001</w:t>
      </w:r>
    </w:p>
    <w:p>
      <w:pPr>
        <w:pStyle w:val="Normal"/>
        <w:tabs>
          <w:tab w:val="clear" w:pos="720"/>
          <w:tab w:val="left" w:pos="540" w:leader="none"/>
        </w:tabs>
        <w:jc w:val="center"/>
        <w:rPr>
          <w:b/>
          <w:u w:val="single"/>
        </w:rPr>
      </w:pPr>
      <w:r>
        <w:rPr>
          <w:b/>
          <w:u w:val="single"/>
        </w:rPr>
        <w:t>CERTIFICATE OF SERVICE</w:t>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left" w:pos="720" w:leader="none"/>
        </w:tabs>
        <w:spacing w:lineRule="auto" w:line="480"/>
        <w:rPr/>
      </w:pPr>
      <w:r>
        <w:rPr/>
        <w:tab/>
        <w:t>I hereby certify that I have this day served a copy of the foregoing document upon each person designated on the official service list compiled by the Secretary in this proceeding.</w:t>
      </w:r>
    </w:p>
    <w:p>
      <w:pPr>
        <w:pStyle w:val="Normal"/>
        <w:spacing w:lineRule="auto" w:line="480"/>
        <w:rPr/>
      </w:pPr>
      <w:r>
        <w:rPr/>
        <w:tab/>
        <w:t>Dated at Washington, D.C. this 21st day of November 2001.</w:t>
      </w:r>
    </w:p>
    <w:p>
      <w:pPr>
        <w:pStyle w:val="Normal"/>
        <w:spacing w:lineRule="auto" w:line="480"/>
        <w:rPr/>
      </w:pPr>
      <w:r>
        <w:rPr/>
      </w:r>
    </w:p>
    <w:p>
      <w:pPr>
        <w:pStyle w:val="Normal"/>
        <w:tabs>
          <w:tab w:val="clear" w:pos="720"/>
          <w:tab w:val="left" w:pos="3960" w:leader="none"/>
        </w:tabs>
        <w:rPr/>
      </w:pPr>
      <w:r>
        <w:rPr/>
        <w:tab/>
      </w:r>
      <w:r>
        <w:rPr>
          <w:u w:val="single"/>
        </w:rPr>
        <w:tab/>
        <w:tab/>
        <w:tab/>
        <w:tab/>
        <w:tab/>
        <w:tab/>
      </w:r>
    </w:p>
    <w:p>
      <w:pPr>
        <w:pStyle w:val="Normal"/>
        <w:tabs>
          <w:tab w:val="clear" w:pos="720"/>
          <w:tab w:val="left" w:pos="3960" w:leader="none"/>
        </w:tabs>
        <w:rPr/>
      </w:pPr>
      <w:r>
        <w:rPr/>
        <w:tab/>
        <w:t xml:space="preserve">              J. Gregory Porter</w:t>
      </w:r>
    </w:p>
    <w:p>
      <w:pPr>
        <w:pStyle w:val="Normal"/>
        <w:rPr/>
      </w:pPr>
      <w:r>
        <w:rPr/>
      </w:r>
    </w:p>
    <w:p>
      <w:pPr>
        <w:pStyle w:val="Normal"/>
        <w:tabs>
          <w:tab w:val="clear" w:pos="720"/>
          <w:tab w:val="left" w:pos="3960" w:leader="none"/>
          <w:tab w:val="left" w:pos="4590" w:leader="none"/>
        </w:tabs>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7</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Rule 213 does not permit answers to protests unless otherwise ordered by the Commission.   The Commission has, however, permitted answers to protests where the Commission’s consideration of matters addressed in the answer will facilitate the decisional process or aid in the explication of issues.  As shown below, Transwestern’s answer will facilitate the decisional process in this proceeding by showing that the CPUC’s concerns are misplaced, and should be summarily rejected by the Commission.   </w:t>
      </w:r>
      <w:r>
        <w:rPr>
          <w:u w:val="single"/>
        </w:rPr>
        <w:t>See</w:t>
      </w:r>
      <w:r>
        <w:rPr/>
        <w:t xml:space="preserve">, e.g., </w:t>
      </w:r>
      <w:r>
        <w:rPr>
          <w:i/>
        </w:rPr>
        <w:t>Northern Natural Gas Co</w:t>
      </w:r>
      <w:r>
        <w:rPr/>
        <w:t xml:space="preserve">., 60 FERC ¶61,098 (1992); </w:t>
      </w:r>
      <w:r>
        <w:rPr>
          <w:i/>
        </w:rPr>
        <w:t>Natural Gas Pipeline Company of America</w:t>
      </w:r>
      <w:r>
        <w:rPr/>
        <w:t xml:space="preserve">, 52 FERC ¶61,219 (1990); </w:t>
      </w:r>
      <w:r>
        <w:rPr>
          <w:i/>
        </w:rPr>
        <w:t>Transcontinental Gas Pipe Line Corp</w:t>
      </w:r>
      <w:r>
        <w:rPr/>
        <w:t>., 50 FERC ¶61,365 (1990);</w:t>
      </w:r>
      <w:r>
        <w:rPr>
          <w:rFonts w:cs="Arial" w:ascii="Arial" w:hAnsi="Arial"/>
        </w:rPr>
        <w:t xml:space="preserve"> </w:t>
      </w:r>
      <w:r>
        <w:rPr>
          <w:i/>
        </w:rPr>
        <w:t>Transwestern Pipeline Co</w:t>
      </w:r>
      <w:r>
        <w:rPr/>
        <w:t>mpany, 50 FERC ¶ 61,211, at 61,672 (1990).</w:t>
      </w:r>
    </w:p>
    <w:p>
      <w:pPr>
        <w:pStyle w:val="FootnoteText"/>
        <w:rPr/>
      </w:pPr>
      <w:r>
        <w:rPr/>
      </w:r>
    </w:p>
  </w:footnote>
  <w:footnote w:id="3">
    <w:p>
      <w:pPr>
        <w:pStyle w:val="FootnoteText"/>
        <w:rPr/>
      </w:pPr>
      <w:r>
        <w:rPr>
          <w:rStyle w:val="FootnoteCharacters"/>
        </w:rPr>
        <w:footnoteRef/>
      </w:r>
      <w:r>
        <w:rPr/>
        <w:t xml:space="preserve"> </w:t>
      </w:r>
      <w:r>
        <w:rPr>
          <w:i/>
        </w:rPr>
        <w:t>Transwestern Pipeline Company</w:t>
      </w:r>
      <w:r>
        <w:rPr/>
        <w:t>, 79 FERC ¶ 61,021 (1997).</w:t>
      </w:r>
    </w:p>
    <w:p>
      <w:pPr>
        <w:pStyle w:val="FootnoteText"/>
        <w:rPr/>
      </w:pPr>
      <w:r>
        <w:rPr/>
      </w:r>
    </w:p>
  </w:footnote>
  <w:footnote w:id="4">
    <w:p>
      <w:pPr>
        <w:pStyle w:val="FootnoteText"/>
        <w:rPr/>
      </w:pPr>
      <w:r>
        <w:rPr>
          <w:rStyle w:val="FootnoteCharacters"/>
        </w:rPr>
        <w:footnoteRef/>
      </w:r>
      <w:r>
        <w:rPr/>
        <w:t xml:space="preserve">USGT is the successor in interest to U.S. Gas Transmission, Inc. </w:t>
      </w:r>
    </w:p>
    <w:p>
      <w:pPr>
        <w:pStyle w:val="FootnoteText"/>
        <w:rPr/>
      </w:pPr>
      <w:r>
        <w:rPr/>
      </w:r>
    </w:p>
  </w:footnote>
  <w:footnote w:id="5">
    <w:p>
      <w:pPr>
        <w:pStyle w:val="FootnoteText"/>
        <w:rPr/>
      </w:pPr>
      <w:r>
        <w:rPr>
          <w:rStyle w:val="FootnoteCharacters"/>
        </w:rPr>
        <w:footnoteRef/>
      </w:r>
      <w:r>
        <w:rPr/>
        <w:t xml:space="preserve"> </w:t>
      </w:r>
      <w:r>
        <w:rPr>
          <w:i/>
          <w:iCs/>
        </w:rPr>
        <w:t>Alternatives to Traditional Cost-of-Service Ratemaking and Regulation of Negotiated Transportation Services of Natural Gas Pipelines</w:t>
      </w:r>
      <w:r>
        <w:rPr/>
        <w:t xml:space="preserve">, 74 FERC </w:t>
      </w:r>
      <w:r>
        <w:rPr>
          <w:rFonts w:cs="Lucida Console" w:ascii="Lucida Console" w:hAnsi="Lucida Console"/>
        </w:rPr>
        <w:t>¶</w:t>
      </w:r>
      <w:r>
        <w:rPr/>
        <w:t>61,076 (1996) (“Policy Statement”).</w:t>
      </w:r>
    </w:p>
    <w:p>
      <w:pPr>
        <w:pStyle w:val="FootnoteText"/>
        <w:rPr/>
      </w:pPr>
      <w:r>
        <w:rPr/>
      </w:r>
    </w:p>
  </w:footnote>
  <w:footnote w:id="6">
    <w:p>
      <w:pPr>
        <w:pStyle w:val="FootnoteText"/>
        <w:rPr/>
      </w:pPr>
      <w:r>
        <w:rPr>
          <w:rStyle w:val="FootnoteCharacters"/>
        </w:rPr>
        <w:footnoteRef/>
      </w:r>
      <w:r>
        <w:rPr/>
        <w:t xml:space="preserve"> </w:t>
      </w:r>
      <w:r>
        <w:rPr/>
        <w:t xml:space="preserve">Policy Statement, 74 FERC at </w:t>
      </w:r>
      <w:r>
        <w:rPr>
          <w:rFonts w:cs="Lucida Console" w:ascii="Lucida Console" w:hAnsi="Lucida Console"/>
        </w:rPr>
        <w:t>¶</w:t>
      </w:r>
      <w:r>
        <w:rPr/>
        <w:t>61,227.</w:t>
      </w:r>
    </w:p>
  </w:footnote>
  <w:footnote w:id="7">
    <w:p>
      <w:pPr>
        <w:pStyle w:val="FootnoteText"/>
        <w:rPr/>
      </w:pPr>
      <w:r>
        <w:rPr>
          <w:rStyle w:val="FootnoteCharacters"/>
        </w:rPr>
        <w:footnoteRef/>
      </w:r>
      <w:r>
        <w:rPr/>
        <w:t xml:space="preserve"> </w:t>
      </w:r>
      <w:r>
        <w:rPr>
          <w:u w:val="single"/>
        </w:rPr>
        <w:t>Id.</w:t>
      </w:r>
      <w:r>
        <w:rPr/>
        <w:t xml:space="preserve"> at 61,240.</w:t>
      </w:r>
    </w:p>
    <w:p>
      <w:pPr>
        <w:pStyle w:val="FootnoteText"/>
        <w:rPr/>
      </w:pPr>
      <w:r>
        <w:rPr/>
      </w:r>
    </w:p>
  </w:footnote>
  <w:footnote w:id="8">
    <w:p>
      <w:pPr>
        <w:pStyle w:val="FootnoteText"/>
        <w:rPr/>
      </w:pPr>
      <w:r>
        <w:rPr>
          <w:rStyle w:val="FootnoteCharacters"/>
        </w:rPr>
        <w:footnoteRef/>
      </w:r>
      <w:r>
        <w:rPr/>
        <w:t xml:space="preserve"> </w:t>
      </w:r>
      <w:r>
        <w:rPr/>
        <w:t>Protest at p. 6. Apparently, simply  because the USGT negotiated rates are based upon a formula that includes published indices reflective of the daily natural gas market, the CPUC characterizes these rates as “market based rates.”</w:t>
      </w:r>
    </w:p>
    <w:p>
      <w:pPr>
        <w:pStyle w:val="FootnoteText"/>
        <w:rPr/>
      </w:pPr>
      <w:r>
        <w:rPr/>
      </w:r>
    </w:p>
  </w:footnote>
  <w:footnote w:id="9">
    <w:p>
      <w:pPr>
        <w:pStyle w:val="FootnoteText"/>
        <w:rPr/>
      </w:pPr>
      <w:r>
        <w:rPr>
          <w:rStyle w:val="FootnoteCharacters"/>
        </w:rPr>
        <w:footnoteRef/>
      </w:r>
      <w:r>
        <w:rPr/>
        <w:t xml:space="preserve"> </w:t>
      </w:r>
      <w:r>
        <w:rPr/>
        <w:t xml:space="preserve">Policy Statement, 74 FERC at </w:t>
      </w:r>
      <w:r>
        <w:rPr>
          <w:rFonts w:cs="Lucida Console" w:ascii="Lucida Console" w:hAnsi="Lucida Console"/>
        </w:rPr>
        <w:t>¶</w:t>
      </w:r>
      <w:r>
        <w:rPr/>
        <w:t>61,227.</w:t>
      </w:r>
    </w:p>
  </w:footnote>
  <w:footnote w:id="10">
    <w:p>
      <w:pPr>
        <w:pStyle w:val="FootnoteText"/>
        <w:rPr/>
      </w:pPr>
      <w:r>
        <w:rPr>
          <w:rStyle w:val="FootnoteCharacters"/>
        </w:rPr>
        <w:footnoteRef/>
      </w:r>
      <w:r>
        <w:rPr/>
        <w:t xml:space="preserve"> </w:t>
      </w:r>
      <w:r>
        <w:rPr/>
        <w:t xml:space="preserve">The Commission’s policy is that a rate determined by a formula that could result in the rate being higher or lower than the maximum rate is by definition a “negotiated rate”. </w:t>
      </w:r>
      <w:r>
        <w:rPr>
          <w:i/>
          <w:iCs/>
        </w:rPr>
        <w:t>Transwestern Pipeline Company</w:t>
      </w:r>
      <w:r>
        <w:rPr/>
        <w:t xml:space="preserve">, 76 FERC </w:t>
      </w:r>
      <w:r>
        <w:rPr>
          <w:rFonts w:cs="Lucida Console" w:ascii="Lucida Console" w:hAnsi="Lucida Console"/>
        </w:rPr>
        <w:t>¶</w:t>
      </w:r>
      <w:r>
        <w:rPr/>
        <w:t xml:space="preserve">61,318 (1996). </w:t>
      </w:r>
      <w:r>
        <w:rPr>
          <w:i/>
          <w:iCs/>
        </w:rPr>
        <w:t>National Fuel Gas Supply Corp</w:t>
      </w:r>
      <w:r>
        <w:rPr/>
        <w:t xml:space="preserve">., 76 FERC </w:t>
      </w:r>
      <w:r>
        <w:rPr>
          <w:rFonts w:cs="Lucida Console" w:ascii="Lucida Console" w:hAnsi="Lucida Console"/>
        </w:rPr>
        <w:t>¶</w:t>
      </w:r>
      <w:r>
        <w:rPr/>
        <w:t>61, 223 (1996).</w:t>
      </w:r>
    </w:p>
    <w:p>
      <w:pPr>
        <w:pStyle w:val="FootnoteText"/>
        <w:rPr/>
      </w:pPr>
      <w:r>
        <w:rPr/>
      </w:r>
    </w:p>
  </w:footnote>
  <w:footnote w:id="11">
    <w:p>
      <w:pPr>
        <w:pStyle w:val="FootnoteText"/>
        <w:rPr/>
      </w:pPr>
      <w:r>
        <w:rPr>
          <w:rStyle w:val="FootnoteCharacters"/>
        </w:rPr>
        <w:footnoteRef/>
      </w:r>
      <w:r>
        <w:rPr/>
        <w:t xml:space="preserve"> </w:t>
      </w:r>
      <w:r>
        <w:rPr/>
        <w:t>Protest at p. 4.</w:t>
      </w:r>
    </w:p>
    <w:p>
      <w:pPr>
        <w:pStyle w:val="FootnoteText"/>
        <w:rPr/>
      </w:pPr>
      <w:r>
        <w:rPr/>
      </w:r>
    </w:p>
  </w:footnote>
  <w:footnote w:id="12">
    <w:p>
      <w:pPr>
        <w:pStyle w:val="FootnoteText"/>
        <w:rPr/>
      </w:pPr>
      <w:r>
        <w:rPr>
          <w:rStyle w:val="FootnoteCharacters"/>
        </w:rPr>
        <w:footnoteRef/>
      </w:r>
      <w:r>
        <w:rPr/>
        <w:t xml:space="preserve"> </w:t>
      </w:r>
      <w:r>
        <w:rPr>
          <w:i/>
          <w:iCs/>
        </w:rPr>
        <w:t>Transwestern Pipeline Company</w:t>
      </w:r>
      <w:r>
        <w:rPr/>
        <w:t xml:space="preserve">, 97 FERC </w:t>
      </w:r>
      <w:r>
        <w:rPr>
          <w:rFonts w:cs="Lucida Console" w:ascii="Lucida Console" w:hAnsi="Lucida Console"/>
        </w:rPr>
        <w:t>¶</w:t>
      </w:r>
      <w:r>
        <w:rPr/>
        <w:t>63,010 (October 24, 2001).</w:t>
      </w:r>
    </w:p>
    <w:p>
      <w:pPr>
        <w:pStyle w:val="FootnoteText"/>
        <w:rPr/>
      </w:pPr>
      <w:r>
        <w:rPr/>
      </w:r>
    </w:p>
    <w:p>
      <w:pPr>
        <w:pStyle w:val="FootnoteText"/>
        <w:rPr/>
      </w:pPr>
      <w:r>
        <w:rPr/>
      </w:r>
    </w:p>
  </w:footnote>
  <w:footnote w:id="13">
    <w:p>
      <w:pPr>
        <w:pStyle w:val="FootnoteText"/>
        <w:rPr/>
      </w:pPr>
      <w:r>
        <w:rPr>
          <w:rStyle w:val="FootnoteCharacters"/>
        </w:rPr>
        <w:footnoteRef/>
      </w:r>
      <w:r>
        <w:rPr/>
        <w:t xml:space="preserve"> </w:t>
      </w:r>
      <w:r>
        <w:rPr/>
        <w:t xml:space="preserve">During the period from November 1, 2001 (the date that the negotiated rates went into effect) through November  20, 2001, the volumes actually transported by Transwestern on behalf of USGT and subject to the negotiated rates </w:t>
      </w:r>
      <w:del w:id="0" w:author="bill rapp" w:date="2001-11-21T10:37:00Z">
        <w:r>
          <w:rPr/>
          <w:delText>a</w:delText>
        </w:r>
      </w:del>
      <w:ins w:id="1" w:author="bill rapp" w:date="2001-11-21T10:37:00Z">
        <w:r>
          <w:rPr/>
          <w:t>a</w:t>
        </w:r>
      </w:ins>
      <w:r>
        <w:rPr/>
        <w:t>veraged only 2,650 Mcf per day. This is less than one percent of the 1.09 Bcf per day of westward capacity to California.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3z0">
    <w:name w:val="WW8Num3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 w:hAnsi="CG Times" w:cs="CG Times"/>
    </w:rPr>
  </w:style>
  <w:style w:type="paragraph" w:styleId="BodyText2">
    <w:name w:val="Body Text 2"/>
    <w:basedOn w:val="Normal"/>
    <w:qFormat/>
    <w:pPr>
      <w:tabs>
        <w:tab w:val="clear" w:pos="720"/>
        <w:tab w:val="left" w:pos="4320" w:leader="none"/>
      </w:tabs>
    </w:pPr>
    <w:rPr>
      <w:rFonts w:ascii="CG Times" w:hAnsi="CG Times" w:cs="CG Times"/>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2001-11-21T14:33:00Z</dcterms:created>
  <dc:creator>GIS</dc:creator>
  <dc:description/>
  <dc:language>en-CA</dc:language>
  <cp:lastModifiedBy>Ann Smith</cp:lastModifiedBy>
  <cp:lastPrinted>2001-11-21T11:09:00Z</cp:lastPrinted>
  <dcterms:modified xsi:type="dcterms:W3CDTF">2001-11-21T14:41:00Z</dcterms:modified>
  <cp:revision>5</cp:revision>
  <dc:subject/>
  <dc:title>DRAFT – 3/28/01</dc:title>
</cp:coreProperties>
</file>