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UNITED STATES OF AMERICA</w:t>
      </w:r>
    </w:p>
    <w:p>
      <w:pPr>
        <w:pStyle w:val="Normal"/>
        <w:jc w:val="center"/>
        <w:rPr>
          <w:b/>
        </w:rPr>
      </w:pPr>
      <w:r>
        <w:rPr>
          <w:b/>
        </w:rPr>
        <w:t xml:space="preserve">BEFORE THE </w:t>
      </w:r>
    </w:p>
    <w:p>
      <w:pPr>
        <w:pStyle w:val="Normal"/>
        <w:jc w:val="center"/>
        <w:rPr>
          <w:b/>
        </w:rPr>
      </w:pPr>
      <w:r>
        <w:rPr>
          <w:b/>
        </w:rPr>
        <w:t>FEDERAL ENERGY REGULATORY COMMISSION</w:t>
      </w:r>
    </w:p>
    <w:p>
      <w:pPr>
        <w:pStyle w:val="Normal"/>
        <w:jc w:val="center"/>
        <w:rPr>
          <w:b/>
        </w:rPr>
      </w:pPr>
      <w:r>
        <w:rPr>
          <w:b/>
        </w:rPr>
      </w:r>
    </w:p>
    <w:p>
      <w:pPr>
        <w:pStyle w:val="Normal"/>
        <w:jc w:val="both"/>
        <w:rPr>
          <w:b/>
        </w:rPr>
      </w:pPr>
      <w:r>
        <w:rPr>
          <w:b/>
        </w:rPr>
      </w:r>
    </w:p>
    <w:p>
      <w:pPr>
        <w:pStyle w:val="Normal"/>
        <w:jc w:val="both"/>
        <w:rPr>
          <w:b/>
        </w:rPr>
      </w:pPr>
      <w:r>
        <w:rPr>
          <w:b/>
        </w:rPr>
        <w:t>Transwestern Pipeline Company</w:t>
        <w:tab/>
        <w:tab/>
        <w:t>)</w:t>
        <w:tab/>
        <w:tab/>
        <w:tab/>
        <w:t>Docket Nos. RP97-288-009</w:t>
      </w:r>
    </w:p>
    <w:p>
      <w:pPr>
        <w:pStyle w:val="Normal"/>
        <w:jc w:val="both"/>
        <w:rPr>
          <w:b/>
        </w:rPr>
      </w:pPr>
      <w:r>
        <w:rPr>
          <w:b/>
        </w:rPr>
        <w:tab/>
        <w:tab/>
        <w:tab/>
        <w:tab/>
        <w:tab/>
        <w:tab/>
        <w:t>)</w:t>
        <w:tab/>
        <w:tab/>
        <w:tab/>
        <w:tab/>
        <w:t xml:space="preserve">         RP97-288-010</w:t>
      </w:r>
    </w:p>
    <w:p>
      <w:pPr>
        <w:pStyle w:val="Normal"/>
        <w:jc w:val="both"/>
        <w:rPr>
          <w:b/>
        </w:rPr>
      </w:pPr>
      <w:r>
        <w:rPr>
          <w:b/>
        </w:rPr>
        <w:tab/>
        <w:tab/>
        <w:tab/>
        <w:tab/>
        <w:tab/>
        <w:tab/>
        <w:t>)</w:t>
        <w:tab/>
        <w:tab/>
        <w:tab/>
        <w:tab/>
        <w:t xml:space="preserve">         RP97-288-011</w:t>
      </w:r>
    </w:p>
    <w:p>
      <w:pPr>
        <w:pStyle w:val="Normal"/>
        <w:jc w:val="both"/>
        <w:rPr>
          <w:b/>
        </w:rPr>
      </w:pPr>
      <w:r>
        <w:rPr>
          <w:b/>
        </w:rPr>
        <w:tab/>
        <w:tab/>
        <w:tab/>
        <w:tab/>
        <w:tab/>
        <w:tab/>
        <w:t>)</w:t>
        <w:tab/>
        <w:tab/>
        <w:tab/>
        <w:tab/>
        <w:t xml:space="preserve">         RP97-288-012</w:t>
      </w:r>
    </w:p>
    <w:p>
      <w:pPr>
        <w:pStyle w:val="Normal"/>
        <w:jc w:val="both"/>
        <w:rPr>
          <w:b/>
        </w:rPr>
      </w:pPr>
      <w:r>
        <w:rPr>
          <w:b/>
        </w:rPr>
        <w:tab/>
        <w:tab/>
        <w:tab/>
      </w:r>
    </w:p>
    <w:p>
      <w:pPr>
        <w:pStyle w:val="Normal"/>
        <w:jc w:val="both"/>
        <w:rPr>
          <w:b/>
        </w:rPr>
      </w:pPr>
      <w:r>
        <w:rPr>
          <w:b/>
        </w:rPr>
      </w:r>
    </w:p>
    <w:p>
      <w:pPr>
        <w:pStyle w:val="Normal"/>
        <w:jc w:val="center"/>
        <w:rPr>
          <w:b/>
        </w:rPr>
      </w:pPr>
      <w:r>
        <w:rPr>
          <w:b/>
        </w:rPr>
        <w:t xml:space="preserve">ANSWER OF </w:t>
      </w:r>
    </w:p>
    <w:p>
      <w:pPr>
        <w:pStyle w:val="Normal"/>
        <w:jc w:val="center"/>
        <w:rPr>
          <w:b/>
        </w:rPr>
      </w:pPr>
      <w:r>
        <w:rPr>
          <w:b/>
        </w:rPr>
        <w:t>TRANSWESTERN PIPELINE COMPANY</w:t>
      </w:r>
    </w:p>
    <w:p>
      <w:pPr>
        <w:pStyle w:val="Normal"/>
        <w:jc w:val="center"/>
        <w:rPr>
          <w:b/>
        </w:rPr>
      </w:pPr>
      <w:r>
        <w:rPr>
          <w:b/>
        </w:rPr>
        <w:t xml:space="preserve">  </w:t>
      </w:r>
      <w:r>
        <w:rPr>
          <w:b/>
        </w:rPr>
        <w:t xml:space="preserve">TO PROTEST  </w:t>
      </w:r>
    </w:p>
    <w:p>
      <w:pPr>
        <w:pStyle w:val="Normal"/>
        <w:jc w:val="center"/>
        <w:rPr>
          <w:b/>
        </w:rPr>
      </w:pPr>
      <w:r>
        <w:rPr>
          <w:b/>
        </w:rPr>
      </w:r>
    </w:p>
    <w:p>
      <w:pPr>
        <w:pStyle w:val="Normal"/>
        <w:spacing w:lineRule="auto" w:line="480"/>
        <w:jc w:val="both"/>
        <w:rPr/>
      </w:pPr>
      <w:r>
        <w:rPr>
          <w:b/>
        </w:rPr>
        <w:tab/>
      </w:r>
      <w:r>
        <w:rPr/>
        <w:t>Transwestern Pipeline Company (“Transwestern”), pursuant to Rule 213 of the Commission’s Rules of Practice and Procedure, hereby files its answer to the protest (“Protest”) filed on March 22, 2001 by the Indicated Shippers in the above-captioned proceeding.</w:t>
      </w:r>
      <w:r>
        <w:rPr>
          <w:rStyle w:val="FootnoteCharacters"/>
          <w:rStyle w:val="FootnoteReference"/>
        </w:rPr>
        <w:footnoteReference w:id="2"/>
      </w:r>
      <w:r>
        <w:rPr/>
        <w:t xml:space="preserve"> </w:t>
      </w:r>
    </w:p>
    <w:p>
      <w:pPr>
        <w:pStyle w:val="Normal"/>
        <w:spacing w:lineRule="auto" w:line="480"/>
        <w:jc w:val="center"/>
        <w:rPr>
          <w:b/>
        </w:rPr>
      </w:pPr>
      <w:r>
        <w:rPr>
          <w:b/>
        </w:rPr>
        <w:t>I.</w:t>
      </w:r>
    </w:p>
    <w:p>
      <w:pPr>
        <w:pStyle w:val="Normal"/>
        <w:spacing w:lineRule="auto" w:line="480"/>
        <w:jc w:val="center"/>
        <w:rPr>
          <w:b/>
        </w:rPr>
      </w:pPr>
      <w:r>
        <w:rPr>
          <w:b/>
        </w:rPr>
        <w:t>BACKGROUND</w:t>
      </w:r>
    </w:p>
    <w:p>
      <w:pPr>
        <w:pStyle w:val="Normal"/>
        <w:spacing w:lineRule="auto" w:line="480"/>
        <w:jc w:val="both"/>
        <w:rPr/>
      </w:pPr>
      <w:r>
        <w:rPr/>
        <w:tab/>
        <w:t>In compliance with the negotiated rate authority granted by the Commission on April 11, 1997,</w:t>
      </w:r>
      <w:r>
        <w:rPr>
          <w:rStyle w:val="FootnoteCharacters"/>
          <w:rStyle w:val="FootnoteReference"/>
        </w:rPr>
        <w:footnoteReference w:id="3"/>
      </w:r>
      <w:r>
        <w:rPr/>
        <w:t xml:space="preserve"> Transwestern filed in the above-captioned proceedings tariff sheets for negotiated rate transactions with certain customers, including Sempra Energy Trading (“Sempra”) and Richardson Products Company (“Richardson”).  On March 2, 2001, the Commission issued an order (“the March 2 Order”) that accepted the tariff sheets in Docket Nos. RP97-288-009, -010,  </w:t>
      </w:r>
      <w:r>
        <w:br w:type="page"/>
      </w:r>
    </w:p>
    <w:p>
      <w:pPr>
        <w:pStyle w:val="Normal"/>
        <w:spacing w:lineRule="auto" w:line="480"/>
        <w:jc w:val="both"/>
        <w:rPr/>
      </w:pPr>
      <w:r>
        <w:rPr/>
        <w:t>-011, and -012 for filing, suspended their effectiveness, and permitted them to go into effect on the dates requested by Transwestern, subject to refund.</w:t>
      </w:r>
      <w:r>
        <w:rPr>
          <w:rStyle w:val="FootnoteCharacters"/>
          <w:rStyle w:val="FootnoteReference"/>
        </w:rPr>
        <w:footnoteReference w:id="4"/>
      </w:r>
      <w:r>
        <w:rPr/>
        <w:t xml:space="preserve">   The sole reason given by the March 2 Order for suspending the tariff filings was that the filings “did not allow the Commission to make an informed decision with regard to the negotiated rate transactions at issue.”</w:t>
      </w:r>
      <w:r>
        <w:rPr>
          <w:rStyle w:val="FootnoteCharacters"/>
          <w:rStyle w:val="FootnoteReference"/>
        </w:rPr>
        <w:footnoteReference w:id="5"/>
      </w:r>
      <w:r>
        <w:rPr/>
        <w:t xml:space="preserve"> The March 2 Order also observed that the Commission Staff recently had received additional information from Transwestern and the customers regarding the transactions, but that the Commission had not had the time to analyze the information provided.</w:t>
      </w:r>
      <w:r>
        <w:rPr>
          <w:rStyle w:val="FootnoteCharacters"/>
          <w:rStyle w:val="FootnoteReference"/>
        </w:rPr>
        <w:footnoteReference w:id="6"/>
      </w:r>
    </w:p>
    <w:p>
      <w:pPr>
        <w:pStyle w:val="Normal"/>
        <w:spacing w:lineRule="auto" w:line="480"/>
        <w:jc w:val="both"/>
        <w:rPr/>
      </w:pPr>
      <w:r>
        <w:rPr/>
        <w:tab/>
        <w:t>On March 22, 2001, or nearly three weeks after the issuance of the March 2 Order, the Indicated Shippers filed their protest raising concerns regarding the posting of the capacity subject to the negotiated rate transactions.  In addition, the Indicated Shippers objected to the alleged “refusal” of Transwestern to provide them with copies of the negotiated rate contracts and the volumes transported and revenues generated under those contracts.  As part of their protest, the Indicated Shippers made a formal request for such information under Section 388.112(d) of the Commission’s Freedom of Information Act (FOIA) regulations.  The contracts and other information had been submitted by Transwestern in response to Commission Staff data requests under a request that the contracts and information be kept confidential.</w:t>
      </w:r>
      <w:r>
        <w:rPr>
          <w:rStyle w:val="FootnoteCharacters"/>
          <w:rStyle w:val="FootnoteReference"/>
        </w:rPr>
        <w:footnoteReference w:id="7"/>
      </w:r>
      <w:r>
        <w:rPr/>
        <w:t xml:space="preserve">  Transwestern’s request for confidential treatment was made because the contracts in question prohibit Transwestern from disclosing the contracts without the prior consent of the customers.  However, to facilitate the expeditious resolution of this matter, the customers under the contracts </w:t>
      </w:r>
      <w:r>
        <w:br w:type="page"/>
      </w:r>
    </w:p>
    <w:p>
      <w:pPr>
        <w:pStyle w:val="Normal"/>
        <w:spacing w:lineRule="auto" w:line="480"/>
        <w:jc w:val="both"/>
        <w:rPr/>
      </w:pPr>
      <w:r>
        <w:rPr/>
        <w:t>have consented to the release of the contracts to the Indicated Shippers and have agreed to provide the data contained in Data Response No. 4 to the Indicated Shippers pursuant to a confidentiality agreement.  Accordingly, Transwestern will send a copy of the negotiated rate contracts to Indicated Shippers and also has contacted Indicated Shippers to discuss the terms of a confidentiality agreement under which the information in Data Response No. 4 would be provided to Indicated Shippers.</w:t>
      </w:r>
    </w:p>
    <w:p>
      <w:pPr>
        <w:pStyle w:val="Normal"/>
        <w:spacing w:lineRule="auto" w:line="480"/>
        <w:jc w:val="center"/>
        <w:rPr>
          <w:b/>
        </w:rPr>
      </w:pPr>
      <w:r>
        <w:rPr>
          <w:b/>
        </w:rPr>
        <w:t>II.</w:t>
      </w:r>
    </w:p>
    <w:p>
      <w:pPr>
        <w:pStyle w:val="Normal"/>
        <w:jc w:val="center"/>
        <w:rPr>
          <w:b/>
        </w:rPr>
      </w:pPr>
      <w:r>
        <w:rPr>
          <w:b/>
        </w:rPr>
        <w:t>DISCUSSION</w:t>
      </w:r>
    </w:p>
    <w:p>
      <w:pPr>
        <w:pStyle w:val="Normal"/>
        <w:jc w:val="center"/>
        <w:rPr>
          <w:b/>
        </w:rPr>
      </w:pPr>
      <w:r>
        <w:rPr>
          <w:b/>
        </w:rPr>
      </w:r>
    </w:p>
    <w:p>
      <w:pPr>
        <w:pStyle w:val="Normal"/>
        <w:jc w:val="both"/>
        <w:rPr/>
      </w:pPr>
      <w:r>
        <w:rPr/>
        <w:t>A.</w:t>
        <w:tab/>
      </w:r>
      <w:r>
        <w:rPr>
          <w:u w:val="single"/>
        </w:rPr>
        <w:t>The Posting Period for the Capacity Was More than Adequate</w:t>
      </w:r>
      <w:r>
        <w:rPr/>
        <w:t xml:space="preserve">.   </w:t>
      </w:r>
    </w:p>
    <w:p>
      <w:pPr>
        <w:pStyle w:val="Normal"/>
        <w:jc w:val="center"/>
        <w:rPr>
          <w:b/>
        </w:rPr>
      </w:pPr>
      <w:r>
        <w:rPr>
          <w:b/>
        </w:rPr>
      </w:r>
    </w:p>
    <w:p>
      <w:pPr>
        <w:pStyle w:val="Normal"/>
        <w:spacing w:lineRule="auto" w:line="480"/>
        <w:jc w:val="both"/>
        <w:rPr/>
      </w:pPr>
      <w:r>
        <w:rPr>
          <w:b/>
        </w:rPr>
        <w:tab/>
      </w:r>
      <w:r>
        <w:rPr/>
        <w:t>While acknowledging that Transwestern’s tariff does not provide specific posting procedures for the sale and award of operationally available capacity,</w:t>
      </w:r>
      <w:r>
        <w:rPr>
          <w:rStyle w:val="FootnoteCharacters"/>
          <w:rStyle w:val="FootnoteReference"/>
        </w:rPr>
        <w:footnoteReference w:id="8"/>
      </w:r>
      <w:r>
        <w:rPr/>
        <w:t xml:space="preserve"> the Indicated Shippers nevertheless contend that Transwestern failed to post the capacity under the negotiated rate contracts for a “meaningful” period of time.</w:t>
      </w:r>
      <w:r>
        <w:rPr>
          <w:rStyle w:val="FootnoteCharacters"/>
          <w:rStyle w:val="FootnoteReference"/>
        </w:rPr>
        <w:footnoteReference w:id="9"/>
      </w:r>
      <w:r>
        <w:rPr/>
        <w:t xml:space="preserve">   Indicated Shippers make this contention while at the same time conceding that that they do not know how long the capacity was posted on Transwestern’s Internet site.  Additionally, the Indicated Shippers make no attempt to state the period of time they believe would have been meaningful.    </w:t>
      </w:r>
    </w:p>
    <w:p>
      <w:pPr>
        <w:pStyle w:val="Normal"/>
        <w:spacing w:lineRule="auto" w:line="480"/>
        <w:jc w:val="both"/>
        <w:rPr/>
      </w:pPr>
      <w:r>
        <w:rPr/>
        <w:tab/>
        <w:t xml:space="preserve">The Indicated Shippers’ contention is wrong as a matter of fact and law.  Transwestern follows the Commission’s policies for posting capacity.  Transwestern offered the capacity at issue to all shippers in a non-discriminatory manner by posting the subject capacity on its Internet website. As shown in the attached affidavit of Therese K. Lohman, Transwestern’s account director, Transwestern posted the capacity underlying the negotiated rate transactions on its Internet website as follows:  (1) on Friday, January 26, 2001, from 9 a.m. to 5 p.m., </w:t>
      </w:r>
      <w:r>
        <w:br w:type="page"/>
      </w:r>
    </w:p>
    <w:p>
      <w:pPr>
        <w:pStyle w:val="Normal"/>
        <w:spacing w:lineRule="auto" w:line="480"/>
        <w:jc w:val="both"/>
        <w:rPr/>
      </w:pPr>
      <w:r>
        <w:rPr/>
        <w:t>Transwestern posted the availability of 10,000 Dth/day of firm capacity (the capacity subject to the Sempra transaction) on its Unsubscribed Capacity Report at “Ignacio to Blanco” (San Juan Lateral) and “Blanco to Thoreau” (San Juan Lateral), and 15,000 Dth/day “Thoreau West” (mainline);</w:t>
      </w:r>
      <w:r>
        <w:rPr>
          <w:rStyle w:val="FootnoteCharacters"/>
          <w:rStyle w:val="FootnoteReference"/>
        </w:rPr>
        <w:footnoteReference w:id="10"/>
      </w:r>
      <w:r>
        <w:rPr/>
        <w:t xml:space="preserve"> and (2) on Wednesday, January 31, 2001, from 9 a.m. to 5 p.m., Transwestern posted the availability of 10,000 Dth/day of firm capacity (the capacity subject to the Richardson transaction) on its Unsubscribed Capacity Report at “Thoreau West” (mainline).</w:t>
      </w:r>
      <w:r>
        <w:rPr>
          <w:rStyle w:val="FootnoteCharacters"/>
          <w:rStyle w:val="FootnoteReference"/>
        </w:rPr>
        <w:footnoteReference w:id="11"/>
      </w:r>
      <w:r>
        <w:rPr/>
        <w:t xml:space="preserve">   Only Sempra and Richardson submitted bids for the respective packages of capacity during the eight-hour posting and bidding period.  Specifically, Sempra submitted its bid at 3:16 p.m. on Friday, January 26, 2001, and Richardson submitted its bid at 1:48 p.m. on Wednesday, January 31, 2001.  Transwestern waited until the bidding period ended at 5:00 p.m. on each day before awarding the contracts to the successful bidders.  Thus, in both cases, Transwestern posted the capacity at issue for a full business day before awarding the negotiated rate contracts to Sempra and Richardson, which were also the only two customers that submitted bids on, or requested, the capacity being posted.</w:t>
      </w:r>
      <w:r>
        <w:rPr>
          <w:rStyle w:val="FootnoteCharacters"/>
          <w:rStyle w:val="FootnoteReference"/>
        </w:rPr>
        <w:footnoteReference w:id="12"/>
      </w:r>
      <w:r>
        <w:rPr/>
        <w:t xml:space="preserve">  </w:t>
      </w:r>
    </w:p>
    <w:p>
      <w:pPr>
        <w:pStyle w:val="Normal"/>
        <w:spacing w:lineRule="auto" w:line="480"/>
        <w:ind w:firstLine="720" w:end="0"/>
        <w:jc w:val="both"/>
        <w:rPr/>
      </w:pPr>
      <w:r>
        <w:rPr/>
        <w:t xml:space="preserve">Insofar as both negotiated rate contracts had a primary term of one day, with a rollover on a day-to-day basis for not more than one month, the eight-hour posting period for both transactions was, under the Commission’s policies, more than sufficient.  Indeed, the Commission’s recent decision in </w:t>
      </w:r>
      <w:r>
        <w:rPr>
          <w:i/>
        </w:rPr>
        <w:t xml:space="preserve">Columbia Gas Transmission Corporation </w:t>
      </w:r>
      <w:r>
        <w:rPr/>
        <w:t>(“</w:t>
      </w:r>
      <w:r>
        <w:rPr>
          <w:i/>
        </w:rPr>
        <w:t>Columbia”)</w:t>
      </w:r>
      <w:r>
        <w:rPr>
          <w:rStyle w:val="FootnoteCharacters"/>
          <w:rStyle w:val="FootnoteReference"/>
        </w:rPr>
        <w:footnoteReference w:id="13"/>
      </w:r>
      <w:r>
        <w:rPr/>
        <w:t xml:space="preserve"> is directly on point, and establishes that Transwestern’s posting of the capacity was in fact </w:t>
      </w:r>
      <w:r>
        <w:br w:type="page"/>
      </w:r>
    </w:p>
    <w:p>
      <w:pPr>
        <w:pStyle w:val="Normal"/>
        <w:spacing w:lineRule="auto" w:line="480"/>
        <w:ind w:end="0"/>
        <w:jc w:val="both"/>
        <w:rPr/>
      </w:pPr>
      <w:r>
        <w:rPr/>
        <w:t>“</w:t>
      </w:r>
      <w:r>
        <w:rPr/>
        <w:t xml:space="preserve">meaningful”.  In </w:t>
      </w:r>
      <w:r>
        <w:rPr>
          <w:i/>
        </w:rPr>
        <w:t>Columbia</w:t>
      </w:r>
      <w:r>
        <w:rPr/>
        <w:t>, the Commission approved Columbia’s proposal to establish an interactive auction process in which firm capacity available for less than one year would be posted for a one-hour period from 7 a.m. to 8 a.m.</w:t>
      </w:r>
      <w:r>
        <w:rPr>
          <w:rStyle w:val="FootnoteCharacters"/>
          <w:rStyle w:val="FootnoteReference"/>
        </w:rPr>
        <w:footnoteReference w:id="14"/>
      </w:r>
      <w:r>
        <w:rPr/>
        <w:t xml:space="preserve"> It should be emphasized that Columbia’s posting and bidding period for firm capacity available for less than five months had been one hour even before Columbia’s proposal had been approved.</w:t>
      </w:r>
      <w:r>
        <w:rPr>
          <w:rStyle w:val="FootnoteCharacters"/>
          <w:rStyle w:val="FootnoteReference"/>
        </w:rPr>
        <w:footnoteReference w:id="15"/>
      </w:r>
      <w:r>
        <w:rPr/>
        <w:t xml:space="preserve">   In other words, Columbia’s proposal extended the previously approved one-hour posting and bidding period to transactions with terms of up to one year.  Thus, the eight-hour posting and bidding period used by Transwestern for these negotiated rate transactions, which were for daily firm service with day-to-day rollover not to exceed one month, was clearly adequate under the Commission’s policies as enunciated in </w:t>
      </w:r>
      <w:r>
        <w:rPr>
          <w:i/>
        </w:rPr>
        <w:t>Columbia.</w:t>
      </w:r>
      <w:r>
        <w:rPr/>
        <w:t xml:space="preserve">   </w:t>
      </w:r>
    </w:p>
    <w:p>
      <w:pPr>
        <w:pStyle w:val="Normal"/>
        <w:spacing w:lineRule="auto" w:line="480"/>
        <w:jc w:val="both"/>
        <w:rPr/>
      </w:pPr>
      <w:r>
        <w:rPr/>
        <w:t>B.</w:t>
        <w:tab/>
      </w:r>
      <w:r>
        <w:rPr>
          <w:u w:val="single"/>
        </w:rPr>
        <w:t>No Other Customers had Submitted Bids On, or had Requested, the Capacity.</w:t>
      </w:r>
    </w:p>
    <w:p>
      <w:pPr>
        <w:pStyle w:val="Normal"/>
        <w:spacing w:lineRule="auto" w:line="480"/>
        <w:jc w:val="both"/>
        <w:rPr/>
      </w:pPr>
      <w:r>
        <w:rPr/>
        <w:tab/>
        <w:t>The Indicated Shippers further contend that Transwestern had interpreted Staff’s Data Request in these proceedings too narrowly when it responded with the statement that there were “no other bids or requests for the capacity under the subject [negotiated rate] contracts.”</w:t>
      </w:r>
      <w:r>
        <w:rPr>
          <w:rStyle w:val="FootnoteCharacters"/>
          <w:rStyle w:val="FootnoteReference"/>
        </w:rPr>
        <w:footnoteReference w:id="16"/>
      </w:r>
      <w:r>
        <w:rPr/>
        <w:t xml:space="preserve">  Transwestern does not understand what the Indicated Shippers mean by the phrase “too narrowly.”   As shown in the Affidavit of Therese K. Lohman, there were no other requests for the firm capacity that is the subject of these proceedings during the time period in which such capacity was posted, either in response to the posting on Transwestern’s Internet website, or through individual shipper requests.   This does not mean, however, that Transwestern did not provide shippers, including the Indicated Shippers, a meaningful opportunity to submit bids for capacity.  The Indicated Shippers could have monitored Transwestern’s capacity notices posted on its Internet website and inquired about the available capacity and submitted a bid, but they did not.   </w:t>
      </w:r>
    </w:p>
    <w:p>
      <w:pPr>
        <w:pStyle w:val="Normal"/>
        <w:spacing w:lineRule="auto" w:line="480"/>
        <w:ind w:firstLine="720" w:end="0"/>
        <w:jc w:val="both"/>
        <w:rPr/>
      </w:pPr>
      <w:r>
        <w:rPr/>
        <w:t xml:space="preserve">As shown in the attached affidavit, pursuant to the January 26, 2001, eight-hour posting, Transwestern had received only one bid—Sempra’s.  Pursuant to the January 31, 2001, eight-hour posting, Transwestern had received only one bid—Richardson’s.  As stated previously, Transwestern received no other bids at negotiated rates or the recourse rate.  After the respective posting and bidding periods ended, Transwestern awarded the capacity to the successful bidders and entered into the subject transactions.  Had Transwestern received two or more requests for either package of capacity, Transwestern’s capacity allocation procedures would have been employed.  Accordingly, Transwestern’s eight-hour posting of the daily firm capacity underlying the negotiated rate contracts demonstrates that all potential customers were advised of the available capacity and were provided the same opportunity to purchase such capacity under Transwestern’s recourse rate or a negotiated rate.     </w:t>
      </w:r>
    </w:p>
    <w:p>
      <w:pPr>
        <w:pStyle w:val="Normal"/>
        <w:spacing w:lineRule="auto" w:line="480"/>
        <w:jc w:val="both"/>
        <w:rPr/>
      </w:pPr>
      <w:r>
        <w:rPr/>
        <w:t>C.</w:t>
        <w:tab/>
      </w:r>
      <w:r>
        <w:rPr>
          <w:u w:val="single"/>
        </w:rPr>
        <w:t>The Negotiated Rate Contracts Do Not Contain Negotiated Terms and Conditions</w:t>
      </w:r>
      <w:r>
        <w:rPr/>
        <w:t>.</w:t>
      </w:r>
    </w:p>
    <w:p>
      <w:pPr>
        <w:pStyle w:val="Normal"/>
        <w:spacing w:lineRule="auto" w:line="480"/>
        <w:jc w:val="both"/>
        <w:rPr/>
      </w:pPr>
      <w:r>
        <w:rPr/>
        <w:tab/>
        <w:t xml:space="preserve">As Indicated Shippers correctly noted, Section 154.1 of the Commission’s regulations requires interstate pipelines to include pro forma contracts in their tariffs, and further requires that any contract that materially deviates from the pro forma contract be publicly filed.  In compliance with the Commission’s regulations, Transwestern’s tariff, Second Revised Volume No. 1, at Third Revised Sheet No. 116, contains a Form of Service Agreement for Rate Schedule FTS-1.  The negotiated rate contracts with Sempra and Richardson do not deviate in any material respect from the pro forma contract set forth at Third Revised Sheet No. 116 in Transwestern’s tariff and therefore did not need to be filed separately with the Commission.  </w:t>
      </w:r>
    </w:p>
    <w:p>
      <w:pPr>
        <w:pStyle w:val="Normal"/>
        <w:spacing w:lineRule="auto" w:line="480"/>
        <w:jc w:val="both"/>
        <w:rPr/>
      </w:pPr>
      <w:r>
        <w:rPr/>
        <w:tab/>
        <w:t>Indicated Shippers’ assertion that the contracts vary materially from the pro forma contract is based on Indicated Shippers’ faulty assumption that Sempra and Richardson are not receiving FTS-1 firm service from Transwestern.   In fact, the terms and conditions applicable to service to Sempra and Richardson are the “traditional FT terms and conditions” provided pursuant to Transwestern’s tariff.</w:t>
      </w:r>
      <w:r>
        <w:rPr>
          <w:rStyle w:val="FootnoteCharacters"/>
          <w:rStyle w:val="FootnoteReference"/>
        </w:rPr>
        <w:footnoteReference w:id="17"/>
      </w:r>
      <w:r>
        <w:rPr/>
        <w:t xml:space="preserve">    While there is no requirement for Transwestern to publicly file the Sempra and Richardson contracts, Transwestern nonetheless, as noted above, will provide copies of the contracts to the Indicated Shippers.   </w:t>
      </w:r>
    </w:p>
    <w:p>
      <w:pPr>
        <w:pStyle w:val="BodyText3"/>
        <w:ind w:hanging="720" w:start="720" w:end="0"/>
        <w:rPr/>
      </w:pPr>
      <w:r>
        <w:rPr/>
        <w:t>D.</w:t>
        <w:tab/>
      </w:r>
      <w:r>
        <w:rPr>
          <w:u w:val="single"/>
        </w:rPr>
        <w:t>There Is No Merit To Indicated Shippers’ Claim That The Firm Service Provided Was Quasi-Firm Or That Transwestern Has Prematurely Implemented Its Proposed Options Program</w:t>
      </w:r>
      <w:r>
        <w:rPr/>
        <w:t>.</w:t>
      </w:r>
    </w:p>
    <w:p>
      <w:pPr>
        <w:pStyle w:val="Normal"/>
        <w:jc w:val="both"/>
        <w:rPr/>
      </w:pPr>
      <w:r>
        <w:rPr/>
      </w:r>
    </w:p>
    <w:p>
      <w:pPr>
        <w:pStyle w:val="Normal"/>
        <w:spacing w:lineRule="auto" w:line="480"/>
        <w:jc w:val="both"/>
        <w:rPr/>
      </w:pPr>
      <w:r>
        <w:rPr/>
        <w:tab/>
        <w:t>The Indicated Shippers (at 9) seem to be confused about the firmness of the capacity underlying the negotiated rate transactions.  The transportation service Sempra and Richardson received was firm service under Transwestern’s Rate Schedule FTS-1.  The capacity underlying the negotiated rate transactions was capacity that became available for a short period of time due to operational conditions.  The Commission has recognized that this capacity, which is referred to as “operationally available capacity” can be sold on a short-term firm basis.</w:t>
      </w:r>
      <w:r>
        <w:rPr>
          <w:rStyle w:val="FootnoteCharacters"/>
          <w:rStyle w:val="FootnoteReference"/>
        </w:rPr>
        <w:footnoteReference w:id="18"/>
      </w:r>
      <w:r>
        <w:rPr/>
        <w:t xml:space="preserve">  Because the amount of operationally available capacity can change from day to day, the transportation service Sempra and Richardson received under the subject negotiated rate transactions was for a term of one day, and from day-to-day thereafter, until the earlier of:  (1) the end of the month in which the transaction was commenced; or (2) the date the transaction was terminated by either party by providing at least two hours notice prior to the nomination deadline for the day the termination is to be effective.  Sempra’s statement that “Transwestern could not guarantee delivery into the SoCalGas system every day” reflected no more than the fact that Transwestern committed to </w:t>
      </w:r>
      <w:r>
        <w:rPr>
          <w:i/>
        </w:rPr>
        <w:t>daily</w:t>
      </w:r>
      <w:r>
        <w:rPr/>
        <w:t xml:space="preserve"> firm service, with such service rolling over on a day-to-day basis if system conditions permitted.</w:t>
      </w:r>
      <w:r>
        <w:rPr>
          <w:rStyle w:val="FootnoteCharacters"/>
          <w:rStyle w:val="FootnoteReference"/>
        </w:rPr>
        <w:footnoteReference w:id="19"/>
      </w:r>
      <w:r>
        <w:rPr/>
        <w:t xml:space="preserve">  </w:t>
      </w:r>
    </w:p>
    <w:p>
      <w:pPr>
        <w:pStyle w:val="Normal"/>
        <w:spacing w:lineRule="auto" w:line="480"/>
        <w:ind w:firstLine="720" w:end="0"/>
        <w:jc w:val="both"/>
        <w:rPr/>
      </w:pPr>
      <w:r>
        <w:rPr/>
        <w:t xml:space="preserve">Further, there is no merit to Indicated Shippers’ allegations (at 9) that Transwestern has “implemented a form of its pending (but not yet approved) options program” under the subject negotiated rate transactions.  As stated above, the service provided Sempra and Richardson was daily firm service provided under Transwestern’s Rate Schedule FTS-1. As such, it is not a Transporter Call option, as described in Transwestern’s proposed options program.   The firm service under the negotiated rate transactions was no less firm than other firm transportation service provided under Rate Schedule FTS-1, and, therefore, was appropriately provided under such Rate Schedule.  </w:t>
      </w:r>
    </w:p>
    <w:p>
      <w:pPr>
        <w:pStyle w:val="Normal"/>
        <w:spacing w:lineRule="auto" w:line="480"/>
        <w:jc w:val="both"/>
        <w:rPr/>
      </w:pPr>
      <w:r>
        <w:rPr/>
        <w:tab/>
        <w:t>WHEREFORE, for the foregoing reasons, Transwestern respectfully requests the Commission to reject Indicated Shippers’ protest and to approve the negotiated rate filings that are the subject of these proceedings.</w:t>
      </w:r>
    </w:p>
    <w:p>
      <w:pPr>
        <w:pStyle w:val="Normal"/>
        <w:spacing w:lineRule="auto" w:line="480"/>
        <w:jc w:val="both"/>
        <w:rPr/>
      </w:pPr>
      <w:r>
        <w:rPr/>
      </w:r>
    </w:p>
    <w:p>
      <w:pPr>
        <w:pStyle w:val="Normal"/>
        <w:spacing w:lineRule="auto" w:line="480"/>
        <w:jc w:val="both"/>
        <w:rPr/>
      </w:pPr>
      <w:r>
        <w:rPr/>
        <w:tab/>
        <w:tab/>
        <w:tab/>
        <w:tab/>
        <w:tab/>
        <w:tab/>
        <w:t>Respectfully submitted,</w:t>
      </w:r>
    </w:p>
    <w:p>
      <w:pPr>
        <w:pStyle w:val="Normal"/>
        <w:jc w:val="both"/>
        <w:rPr/>
      </w:pPr>
      <w:r>
        <w:rPr/>
        <w:tab/>
        <w:tab/>
        <w:tab/>
        <w:tab/>
        <w:tab/>
        <w:tab/>
        <w:t>TRANSWESTERN PIPELINE COMPANY</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tab/>
      </w:r>
    </w:p>
    <w:p>
      <w:pPr>
        <w:pStyle w:val="Normal"/>
        <w:tabs>
          <w:tab w:val="clear" w:pos="720"/>
          <w:tab w:val="left" w:pos="4590" w:leader="none"/>
        </w:tabs>
        <w:rPr/>
      </w:pPr>
      <w:r>
        <w:rPr/>
        <w:tab/>
        <w:t>Drew J. Fossum</w:t>
      </w:r>
    </w:p>
    <w:p>
      <w:pPr>
        <w:pStyle w:val="Normal"/>
        <w:tabs>
          <w:tab w:val="clear" w:pos="720"/>
          <w:tab w:val="left" w:pos="3600" w:leader="none"/>
          <w:tab w:val="left" w:pos="3960" w:leader="none"/>
          <w:tab w:val="left" w:pos="4590" w:leader="none"/>
        </w:tabs>
        <w:ind w:end="-180"/>
        <w:rPr/>
      </w:pPr>
      <w:r>
        <w:rPr/>
        <w:tab/>
        <w:tab/>
        <w:tab/>
        <w:t>Vice President and General Counsel</w:t>
      </w:r>
    </w:p>
    <w:p>
      <w:pPr>
        <w:pStyle w:val="Normal"/>
        <w:tabs>
          <w:tab w:val="clear" w:pos="720"/>
          <w:tab w:val="left" w:pos="3600" w:leader="none"/>
          <w:tab w:val="left" w:pos="3960" w:leader="none"/>
          <w:tab w:val="left" w:pos="4590" w:leader="none"/>
        </w:tabs>
        <w:ind w:end="-180"/>
        <w:rPr/>
      </w:pPr>
      <w:r>
        <w:rPr/>
        <w:tab/>
        <w:tab/>
        <w:tab/>
        <w:t>Maria K. Pavlou</w:t>
      </w:r>
    </w:p>
    <w:p>
      <w:pPr>
        <w:pStyle w:val="Normal"/>
        <w:tabs>
          <w:tab w:val="clear" w:pos="720"/>
          <w:tab w:val="left" w:pos="3960" w:leader="none"/>
          <w:tab w:val="left" w:pos="4590" w:leader="none"/>
        </w:tabs>
        <w:rPr/>
      </w:pPr>
      <w:r>
        <w:rPr/>
        <w:tab/>
        <w:tab/>
        <w:t>Senior Counsel</w:t>
      </w:r>
    </w:p>
    <w:p>
      <w:pPr>
        <w:pStyle w:val="Normal"/>
        <w:tabs>
          <w:tab w:val="clear" w:pos="720"/>
          <w:tab w:val="left" w:pos="3960" w:leader="none"/>
          <w:tab w:val="left" w:pos="4590" w:leader="none"/>
        </w:tabs>
        <w:rPr/>
      </w:pPr>
      <w:r>
        <w:rPr/>
        <w:tab/>
        <w:tab/>
        <w:t xml:space="preserve">Northern Natural Gas Company </w:t>
      </w:r>
    </w:p>
    <w:p>
      <w:pPr>
        <w:pStyle w:val="Normal"/>
        <w:tabs>
          <w:tab w:val="clear" w:pos="720"/>
          <w:tab w:val="left" w:pos="3960" w:leader="none"/>
          <w:tab w:val="left" w:pos="4590" w:leader="none"/>
        </w:tabs>
        <w:rPr/>
      </w:pPr>
      <w:r>
        <w:rPr/>
        <w:tab/>
        <w:tab/>
        <w:t>1111 South 103rd Street</w:t>
      </w:r>
    </w:p>
    <w:p>
      <w:pPr>
        <w:pStyle w:val="Normal"/>
        <w:tabs>
          <w:tab w:val="clear" w:pos="720"/>
          <w:tab w:val="left" w:pos="3960" w:leader="none"/>
          <w:tab w:val="left" w:pos="4590" w:leader="none"/>
        </w:tabs>
        <w:rPr/>
      </w:pPr>
      <w:r>
        <w:rPr/>
        <w:tab/>
        <w:tab/>
        <w:t>Omaha, Nebraska  68124</w:t>
      </w:r>
    </w:p>
    <w:p>
      <w:pPr>
        <w:pStyle w:val="Normal"/>
        <w:tabs>
          <w:tab w:val="clear" w:pos="720"/>
          <w:tab w:val="left" w:pos="3960" w:leader="none"/>
          <w:tab w:val="left" w:pos="4590" w:leader="none"/>
        </w:tabs>
        <w:rPr/>
      </w:pPr>
      <w:r>
        <w:rPr/>
        <w:tab/>
        <w:tab/>
        <w:t>(402) 398-7097</w:t>
      </w:r>
    </w:p>
    <w:p>
      <w:pPr>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pStyle w:val="Normal"/>
        <w:tabs>
          <w:tab w:val="clear" w:pos="720"/>
          <w:tab w:val="left" w:pos="3960" w:leader="none"/>
          <w:tab w:val="left" w:pos="4590" w:leader="none"/>
        </w:tabs>
        <w:rPr/>
      </w:pPr>
      <w:r>
        <w:rPr/>
        <w:t>Dated:  April 19, 2001</w:t>
      </w:r>
    </w:p>
    <w:p>
      <w:pPr>
        <w:pStyle w:val="Normal"/>
        <w:tabs>
          <w:tab w:val="clear" w:pos="720"/>
          <w:tab w:val="left" w:pos="540" w:leader="none"/>
        </w:tabs>
        <w:jc w:val="center"/>
        <w:rPr>
          <w:b/>
          <w:u w:val="single"/>
        </w:rPr>
      </w:pPr>
      <w:r>
        <w:rPr>
          <w:b/>
          <w:u w:val="single"/>
        </w:rPr>
        <w:t>CERTIFICATE OF SERVICE</w:t>
      </w:r>
    </w:p>
    <w:p>
      <w:pPr>
        <w:pStyle w:val="Normal"/>
        <w:tabs>
          <w:tab w:val="clear" w:pos="720"/>
          <w:tab w:val="left" w:pos="540" w:leader="none"/>
        </w:tabs>
        <w:rPr/>
      </w:pPr>
      <w:r>
        <w:rPr/>
      </w:r>
    </w:p>
    <w:p>
      <w:pPr>
        <w:pStyle w:val="Normal"/>
        <w:tabs>
          <w:tab w:val="clear" w:pos="720"/>
          <w:tab w:val="left" w:pos="540" w:leader="none"/>
        </w:tabs>
        <w:rPr/>
      </w:pPr>
      <w:r>
        <w:rPr/>
      </w:r>
    </w:p>
    <w:p>
      <w:pPr>
        <w:pStyle w:val="Normal"/>
        <w:tabs>
          <w:tab w:val="clear" w:pos="720"/>
          <w:tab w:val="left" w:pos="540" w:leader="none"/>
        </w:tabs>
        <w:rPr/>
      </w:pPr>
      <w:r>
        <w:rPr/>
      </w:r>
    </w:p>
    <w:p>
      <w:pPr>
        <w:pStyle w:val="Normal"/>
        <w:tabs>
          <w:tab w:val="left" w:pos="720" w:leader="none"/>
        </w:tabs>
        <w:spacing w:lineRule="auto" w:line="480"/>
        <w:rPr/>
      </w:pPr>
      <w:r>
        <w:rPr/>
        <w:tab/>
        <w:t>I hereby certify that I have this day served a copy of the foregoing document upon each person designated on the official service list compiled by the Secretary in these proceedings.</w:t>
      </w:r>
    </w:p>
    <w:p>
      <w:pPr>
        <w:pStyle w:val="Normal"/>
        <w:spacing w:lineRule="auto" w:line="480"/>
        <w:rPr/>
      </w:pPr>
      <w:r>
        <w:rPr/>
        <w:tab/>
        <w:t>Dated at Washington, D.C. this 19th day of April, 2001.</w:t>
      </w:r>
    </w:p>
    <w:p>
      <w:pPr>
        <w:pStyle w:val="Normal"/>
        <w:spacing w:lineRule="auto" w:line="480"/>
        <w:rPr/>
      </w:pPr>
      <w:r>
        <w:rPr/>
      </w:r>
    </w:p>
    <w:p>
      <w:pPr>
        <w:pStyle w:val="Normal"/>
        <w:tabs>
          <w:tab w:val="clear" w:pos="720"/>
          <w:tab w:val="left" w:pos="3960" w:leader="none"/>
        </w:tabs>
        <w:rPr/>
      </w:pPr>
      <w:r>
        <w:rPr/>
        <w:tab/>
      </w:r>
      <w:r>
        <w:rPr>
          <w:u w:val="single"/>
        </w:rPr>
        <w:tab/>
        <w:tab/>
        <w:tab/>
        <w:tab/>
        <w:tab/>
        <w:tab/>
      </w:r>
    </w:p>
    <w:p>
      <w:pPr>
        <w:pStyle w:val="Normal"/>
        <w:tabs>
          <w:tab w:val="clear" w:pos="720"/>
          <w:tab w:val="left" w:pos="3960" w:leader="none"/>
        </w:tabs>
        <w:rPr/>
      </w:pPr>
      <w:r>
        <w:rPr/>
        <w:tab/>
        <w:t>Maria K. Pavlou</w:t>
      </w:r>
    </w:p>
    <w:p>
      <w:pPr>
        <w:pStyle w:val="Normal"/>
        <w:rPr/>
      </w:pPr>
      <w:r>
        <w:rPr/>
      </w:r>
    </w:p>
    <w:p>
      <w:pPr>
        <w:pStyle w:val="Normal"/>
        <w:tabs>
          <w:tab w:val="clear" w:pos="720"/>
          <w:tab w:val="left" w:pos="3960" w:leader="none"/>
          <w:tab w:val="left" w:pos="4590" w:leader="none"/>
        </w:tabs>
        <w:rPr/>
      </w:pPr>
      <w:r>
        <w:rPr/>
      </w:r>
    </w:p>
    <w:sectPr>
      <w:footerReference w:type="default" r:id="rId4"/>
      <w:footerReference w:type="first" r:id="rId5"/>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Style w:val="DOCSFooter"/>
        <w:rFonts w:cs="Times New Roman"/>
        <w:color w:val="000000"/>
        <w:sz w:val="24"/>
      </w:rPr>
      <w:tab/>
    </w:r>
    <w:r>
      <w:rPr>
        <w:rStyle w:val="DOCSFooter"/>
        <w:rFonts w:cs="Times New Roman"/>
        <w:color w:val="000000"/>
        <w:sz w:val="24"/>
      </w:rPr>
      <w:fldChar w:fldCharType="begin"/>
    </w:r>
    <w:r>
      <w:rPr>
        <w:rStyle w:val="DOCSFooter"/>
        <w:sz w:val="24"/>
        <w:rFonts w:cs="Times New Roman"/>
        <w:color w:val="000000"/>
      </w:rPr>
      <w:instrText xml:space="preserve"> PAGE </w:instrText>
    </w:r>
    <w:r>
      <w:rPr>
        <w:rStyle w:val="DOCSFooter"/>
        <w:sz w:val="24"/>
        <w:rFonts w:cs="Times New Roman"/>
        <w:color w:val="000000"/>
      </w:rPr>
      <w:fldChar w:fldCharType="separate"/>
    </w:r>
    <w:r>
      <w:rPr>
        <w:rStyle w:val="DOCSFooter"/>
        <w:sz w:val="24"/>
        <w:rFonts w:cs="Times New Roman"/>
        <w:color w:val="000000"/>
      </w:rPr>
      <w:t>8</w:t>
    </w:r>
    <w:r>
      <w:rPr>
        <w:rStyle w:val="DOCSFooter"/>
        <w:sz w:val="24"/>
        <w:rFonts w:cs="Times New Roman"/>
        <w:color w:val="00000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Style w:val="DOCSFooter"/>
        <w:rFonts w:cs="Times New Roman"/>
        <w:color w:val="000000"/>
        <w:sz w:val="24"/>
      </w:rPr>
      <w:tab/>
    </w:r>
    <w:r>
      <w:rPr>
        <w:rStyle w:val="DOCSFooter"/>
        <w:rFonts w:cs="Times New Roman"/>
        <w:color w:val="000000"/>
        <w:sz w:val="24"/>
      </w:rPr>
      <w:fldChar w:fldCharType="begin"/>
    </w:r>
    <w:r>
      <w:rPr>
        <w:rStyle w:val="DOCSFooter"/>
        <w:sz w:val="24"/>
        <w:rFonts w:cs="Times New Roman"/>
        <w:color w:val="000000"/>
      </w:rPr>
      <w:instrText xml:space="preserve"> PAGE </w:instrText>
    </w:r>
    <w:r>
      <w:rPr>
        <w:rStyle w:val="DOCSFooter"/>
        <w:sz w:val="24"/>
        <w:rFonts w:cs="Times New Roman"/>
        <w:color w:val="000000"/>
      </w:rPr>
      <w:fldChar w:fldCharType="separate"/>
    </w:r>
    <w:r>
      <w:rPr>
        <w:rStyle w:val="DOCSFooter"/>
        <w:sz w:val="24"/>
        <w:rFonts w:cs="Times New Roman"/>
        <w:color w:val="000000"/>
      </w:rPr>
      <w:t>0</w:t>
    </w:r>
    <w:r>
      <w:rPr>
        <w:rStyle w:val="DOCSFooter"/>
        <w:sz w:val="24"/>
        <w:rFonts w:cs="Times New Roman"/>
        <w:color w:val="00000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Rule 213 does not permit answers to protests unless otherwise ordered by the Commission.   The Commission has, however, permitted answers to protests where the Commission’s consideration of matters addressed in the answer will facilitate the decisional process or aid in the explication of issues.</w:t>
      </w:r>
      <w:r>
        <w:rPr>
          <w:rStyle w:val="FootnoteCharacters"/>
        </w:rPr>
        <w:t>?</w:t>
      </w:r>
      <w:r>
        <w:rPr/>
        <w:t xml:space="preserve">  As shown below, Transwestern’s answer will facilitate the decisional process in this proceeding by showing that the Indicated Shippers’ concerns are misplaced, and should be summarily rejected by the Commission.   </w:t>
      </w:r>
      <w:r>
        <w:rPr>
          <w:u w:val="single"/>
        </w:rPr>
        <w:t>See</w:t>
      </w:r>
      <w:r>
        <w:rPr/>
        <w:t xml:space="preserve">, e.g., </w:t>
      </w:r>
      <w:r>
        <w:rPr>
          <w:i/>
        </w:rPr>
        <w:t>Northern Natural Gas Co</w:t>
      </w:r>
      <w:r>
        <w:rPr/>
        <w:t xml:space="preserve">., 60 FERC ¶61,098 (1992); </w:t>
      </w:r>
      <w:r>
        <w:rPr>
          <w:i/>
        </w:rPr>
        <w:t>Natural Gas Pipeline Company of America</w:t>
      </w:r>
      <w:r>
        <w:rPr/>
        <w:t xml:space="preserve">, 52 FERC ¶61,219 (1990); </w:t>
      </w:r>
      <w:r>
        <w:rPr>
          <w:i/>
        </w:rPr>
        <w:t>Transcontinental Gas Pipe Line Corp</w:t>
      </w:r>
      <w:r>
        <w:rPr/>
        <w:t>., 50 FERC ¶61,365 (1990);</w:t>
      </w:r>
      <w:r>
        <w:rPr>
          <w:rFonts w:cs="Arial" w:ascii="Arial" w:hAnsi="Arial"/>
        </w:rPr>
        <w:t xml:space="preserve"> </w:t>
      </w:r>
      <w:r>
        <w:rPr>
          <w:i/>
        </w:rPr>
        <w:t>Transwestern Pipeline Co</w:t>
      </w:r>
      <w:r>
        <w:rPr/>
        <w:t>mpany, 50 FERC ¶ 61,211, at 61,672 (1990).</w:t>
      </w:r>
    </w:p>
  </w:footnote>
  <w:footnote w:id="3">
    <w:p>
      <w:pPr>
        <w:pStyle w:val="FootnoteText"/>
        <w:rPr/>
      </w:pPr>
      <w:r>
        <w:rPr>
          <w:rStyle w:val="FootnoteCharacters"/>
        </w:rPr>
        <w:footnoteRef/>
      </w:r>
      <w:r>
        <w:rPr/>
        <w:t xml:space="preserve"> </w:t>
      </w:r>
      <w:r>
        <w:rPr>
          <w:i/>
        </w:rPr>
        <w:t>Transwestern Pipeline Company</w:t>
      </w:r>
      <w:r>
        <w:rPr/>
        <w:t>, 79 FERC ¶ 61,021 (1997).</w:t>
      </w:r>
    </w:p>
  </w:footnote>
  <w:footnote w:id="4">
    <w:p>
      <w:pPr>
        <w:pStyle w:val="FootnoteText"/>
        <w:rPr/>
      </w:pPr>
      <w:r>
        <w:rPr>
          <w:rStyle w:val="FootnoteCharacters"/>
        </w:rPr>
        <w:footnoteRef/>
      </w:r>
      <w:r>
        <w:rPr/>
        <w:t xml:space="preserve"> </w:t>
      </w:r>
      <w:r>
        <w:rPr>
          <w:i/>
        </w:rPr>
        <w:t xml:space="preserve">Transwestern Pipeline Company, </w:t>
      </w:r>
      <w:r>
        <w:rPr/>
        <w:t xml:space="preserve"> 94 FERC ¶ 61,233 (2001).</w:t>
      </w:r>
    </w:p>
  </w:footnote>
  <w:footnote w:id="5">
    <w:p>
      <w:pPr>
        <w:pStyle w:val="FootnoteText"/>
        <w:rPr/>
      </w:pPr>
      <w:r>
        <w:rPr>
          <w:rStyle w:val="FootnoteCharacters"/>
        </w:rPr>
        <w:footnoteRef/>
      </w:r>
      <w:r>
        <w:rPr/>
        <w:t xml:space="preserve"> </w:t>
      </w:r>
      <w:r>
        <w:rPr/>
        <w:t xml:space="preserve">March 2 Order, </w:t>
      </w:r>
      <w:r>
        <w:rPr>
          <w:i/>
        </w:rPr>
        <w:t>mimeo,</w:t>
      </w:r>
      <w:r>
        <w:rPr/>
        <w:t xml:space="preserve"> at 4.</w:t>
      </w:r>
    </w:p>
  </w:footnote>
  <w:footnote w:id="6">
    <w:p>
      <w:pPr>
        <w:pStyle w:val="FootnoteText"/>
        <w:rPr/>
      </w:pPr>
      <w:r>
        <w:rPr>
          <w:rStyle w:val="FootnoteCharacters"/>
        </w:rPr>
        <w:footnoteRef/>
      </w:r>
      <w:r>
        <w:rPr/>
        <w:t xml:space="preserve"> </w:t>
      </w:r>
      <w:r>
        <w:rPr/>
        <w:t>On March 28, 2001. the Commission issued an order which consolidated the negotiated rate transactions that are the subject of this proceeding with other negotiated rate transactions that were filed in Docket Nos. RP97-288- 013 through 015, and required Transwestern to respond to certain additional questions.   Transwestern filed an answer in compliance with the March 28 order on April 9, 2001.</w:t>
      </w:r>
    </w:p>
  </w:footnote>
  <w:footnote w:id="7">
    <w:p>
      <w:pPr>
        <w:pStyle w:val="FootnoteText"/>
        <w:rPr/>
      </w:pPr>
      <w:r>
        <w:rPr>
          <w:rStyle w:val="FootnoteCharacters"/>
        </w:rPr>
        <w:footnoteRef/>
      </w:r>
      <w:r>
        <w:rPr/>
        <w:t xml:space="preserve"> </w:t>
      </w:r>
      <w:r>
        <w:rPr/>
        <w:t>Letter, dated February 28, 2001, to David P. Boergers, Secretary, filed in Docket Nos. RP97-288-009, -010, and –011.</w:t>
      </w:r>
    </w:p>
  </w:footnote>
  <w:footnote w:id="8">
    <w:p>
      <w:pPr>
        <w:pStyle w:val="FootnoteText"/>
        <w:rPr/>
      </w:pPr>
      <w:r>
        <w:rPr>
          <w:rStyle w:val="FootnoteCharacters"/>
        </w:rPr>
        <w:footnoteRef/>
      </w:r>
      <w:r>
        <w:rPr/>
        <w:t xml:space="preserve"> </w:t>
      </w:r>
      <w:r>
        <w:rPr/>
        <w:t>Indicated Shippers’ Protest, at 6.</w:t>
      </w:r>
    </w:p>
  </w:footnote>
  <w:footnote w:id="9">
    <w:p>
      <w:pPr>
        <w:pStyle w:val="FootnoteText"/>
        <w:rPr/>
      </w:pPr>
      <w:r>
        <w:rPr>
          <w:rStyle w:val="FootnoteCharacters"/>
        </w:rPr>
        <w:footnoteRef/>
      </w:r>
      <w:r>
        <w:rPr/>
        <w:t xml:space="preserve"> </w:t>
      </w:r>
      <w:r>
        <w:rPr/>
        <w:t>Indicated Shippers’ Protest, at 2.</w:t>
      </w:r>
    </w:p>
  </w:footnote>
  <w:footnote w:id="10">
    <w:p>
      <w:pPr>
        <w:pStyle w:val="FootnoteText"/>
        <w:rPr/>
      </w:pPr>
      <w:r>
        <w:rPr>
          <w:rStyle w:val="FootnoteCharacters"/>
        </w:rPr>
        <w:footnoteRef/>
      </w:r>
      <w:r>
        <w:rPr/>
        <w:t xml:space="preserve"> </w:t>
      </w:r>
      <w:r>
        <w:rPr/>
        <w:t>Of the 15,000 Dth/day in the Sempra contract, 10,000 Dth/day was on the San Juan Lateral and 5,000 Dth/day was from the West Texas pool, which had been previously posted on Transwestern’s Unsubscribed Capacity Report.</w:t>
      </w:r>
    </w:p>
  </w:footnote>
  <w:footnote w:id="11">
    <w:p>
      <w:pPr>
        <w:pStyle w:val="FootnoteText"/>
        <w:rPr/>
      </w:pPr>
      <w:r>
        <w:rPr>
          <w:rStyle w:val="FootnoteCharacters"/>
        </w:rPr>
        <w:footnoteRef/>
      </w:r>
      <w:r>
        <w:rPr/>
        <w:t xml:space="preserve"> </w:t>
      </w:r>
      <w:r>
        <w:rPr/>
        <w:t xml:space="preserve">There was available capacity at the receipt point (Sid Richardson Keystone Winkler Plant) for the Richardson transaction which had been previously posted on Transwestern’s Unsubscribed Capacity Report and, therefore, no new posting of daily firm capacity was required for such point.  </w:t>
      </w:r>
    </w:p>
  </w:footnote>
  <w:footnote w:id="12">
    <w:p>
      <w:pPr>
        <w:pStyle w:val="FootnoteText"/>
        <w:rPr/>
      </w:pPr>
      <w:r>
        <w:rPr>
          <w:rStyle w:val="FootnoteCharacters"/>
        </w:rPr>
        <w:footnoteRef/>
      </w:r>
      <w:r>
        <w:rPr/>
        <w:t xml:space="preserve"> </w:t>
      </w:r>
      <w:r>
        <w:rPr/>
        <w:t>See Transwestern’s response to FERC Staff’s Data Request No. 2 filed February 27, 2001, in FERC Docket No. RP97-288-009 through –011.</w:t>
      </w:r>
    </w:p>
  </w:footnote>
  <w:footnote w:id="13">
    <w:p>
      <w:pPr>
        <w:pStyle w:val="FootnoteText"/>
        <w:rPr/>
      </w:pPr>
      <w:r>
        <w:rPr>
          <w:rStyle w:val="FootnoteCharacters"/>
        </w:rPr>
        <w:footnoteRef/>
      </w:r>
      <w:r>
        <w:rPr/>
        <w:t xml:space="preserve"> </w:t>
      </w:r>
      <w:r>
        <w:rPr/>
        <w:t>94 F.E.R.C. ¶ 61,301 (2001), 2001 FERC LEXIS 554.</w:t>
      </w:r>
    </w:p>
  </w:footnote>
  <w:footnote w:id="14">
    <w:p>
      <w:pPr>
        <w:pStyle w:val="FootnoteText"/>
        <w:rPr/>
      </w:pPr>
      <w:r>
        <w:rPr>
          <w:rStyle w:val="FootnoteCharacters"/>
        </w:rPr>
        <w:footnoteRef/>
      </w:r>
      <w:r>
        <w:rPr/>
        <w:t xml:space="preserve">  </w:t>
      </w:r>
      <w:r>
        <w:rPr/>
        <w:t xml:space="preserve">2001 FERC LEXIS 554 at *6.  </w:t>
      </w:r>
    </w:p>
  </w:footnote>
  <w:footnote w:id="15">
    <w:p>
      <w:pPr>
        <w:pStyle w:val="FootnoteText"/>
        <w:rPr/>
      </w:pPr>
      <w:r>
        <w:rPr>
          <w:rStyle w:val="FootnoteCharacters"/>
        </w:rPr>
        <w:footnoteRef/>
      </w:r>
      <w:r>
        <w:rPr/>
        <w:t xml:space="preserve"> </w:t>
      </w:r>
      <w:r>
        <w:rPr>
          <w:i/>
        </w:rPr>
        <w:t xml:space="preserve">Id. </w:t>
      </w:r>
      <w:r>
        <w:rPr/>
        <w:t>at 2-3.</w:t>
      </w:r>
      <w:r>
        <w:rPr>
          <w:i/>
        </w:rPr>
        <w:t xml:space="preserve"> </w:t>
      </w:r>
    </w:p>
  </w:footnote>
  <w:footnote w:id="16">
    <w:p>
      <w:pPr>
        <w:pStyle w:val="FootnoteText"/>
        <w:rPr/>
      </w:pPr>
      <w:r>
        <w:rPr>
          <w:rStyle w:val="FootnoteCharacters"/>
        </w:rPr>
        <w:footnoteRef/>
      </w:r>
      <w:r>
        <w:rPr/>
        <w:t xml:space="preserve"> </w:t>
      </w:r>
      <w:r>
        <w:rPr/>
        <w:t>Indicated Shippers’ Protest, at 6.</w:t>
      </w:r>
    </w:p>
  </w:footnote>
  <w:footnote w:id="17">
    <w:p>
      <w:pPr>
        <w:pStyle w:val="FootnoteText"/>
        <w:rPr/>
      </w:pPr>
      <w:r>
        <w:rPr>
          <w:rStyle w:val="FootnoteCharacters"/>
        </w:rPr>
        <w:footnoteRef/>
      </w:r>
      <w:r>
        <w:rPr/>
        <w:t xml:space="preserve"> </w:t>
      </w:r>
      <w:r>
        <w:rPr/>
        <w:t>Indicated Shippers’ Protest, at 10.</w:t>
      </w:r>
    </w:p>
  </w:footnote>
  <w:footnote w:id="18">
    <w:p>
      <w:pPr>
        <w:pStyle w:val="FootnoteText"/>
        <w:rPr/>
      </w:pPr>
      <w:r>
        <w:rPr>
          <w:rStyle w:val="FootnoteCharacters"/>
        </w:rPr>
        <w:footnoteRef/>
      </w:r>
      <w:r>
        <w:rPr/>
        <w:t xml:space="preserve"> </w:t>
      </w:r>
      <w:r>
        <w:rPr>
          <w:i/>
        </w:rPr>
        <w:t>See</w:t>
      </w:r>
      <w:r>
        <w:rPr/>
        <w:t xml:space="preserve">, e.g., </w:t>
      </w:r>
      <w:r>
        <w:rPr>
          <w:i/>
        </w:rPr>
        <w:t>Iroquois Gas Transmission System, L.P.</w:t>
      </w:r>
      <w:r>
        <w:rPr/>
        <w:t>, 79 FERC ¶61,394 at 62,695-97 (1997).</w:t>
      </w:r>
    </w:p>
  </w:footnote>
  <w:footnote w:id="19">
    <w:p>
      <w:pPr>
        <w:pStyle w:val="FootnoteText"/>
        <w:rPr/>
      </w:pPr>
      <w:r>
        <w:rPr>
          <w:rStyle w:val="FootnoteCharacters"/>
        </w:rPr>
        <w:footnoteRef/>
      </w:r>
      <w:r>
        <w:rPr/>
        <w:t xml:space="preserve"> </w:t>
      </w:r>
      <w:r>
        <w:rPr>
          <w:i/>
        </w:rPr>
        <w:t>See</w:t>
      </w:r>
      <w:r>
        <w:rPr/>
        <w:t xml:space="preserve"> Transwestern’s answer filed on April 9, 2001 in compliance with the Commission’s March 28, 2001 Order.</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spacing w:before="0" w:after="240"/>
      <w:jc w:val="both"/>
      <w:outlineLvl w:val="0"/>
    </w:pPr>
    <w:rPr>
      <w:kern w:val="2"/>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 w:val="left" w:pos="2160" w:leader="none"/>
      </w:tabs>
      <w:spacing w:before="0" w:after="240"/>
      <w:jc w:val="both"/>
      <w:outlineLvl w:val="2"/>
    </w:pPr>
    <w:rPr/>
  </w:style>
  <w:style w:type="paragraph" w:styleId="Heading4">
    <w:name w:val="heading 4"/>
    <w:basedOn w:val="Normal"/>
    <w:next w:val="Normal"/>
    <w:qFormat/>
    <w:pPr>
      <w:numPr>
        <w:ilvl w:val="3"/>
        <w:numId w:val="1"/>
      </w:numPr>
      <w:tabs>
        <w:tab w:val="clear" w:pos="720"/>
        <w:tab w:val="left" w:pos="2880" w:leader="none"/>
      </w:tabs>
      <w:spacing w:before="0" w:after="240"/>
      <w:jc w:val="both"/>
      <w:outlineLvl w:val="3"/>
    </w:pPr>
    <w:rPr/>
  </w:style>
  <w:style w:type="paragraph" w:styleId="Heading5">
    <w:name w:val="heading 5"/>
    <w:basedOn w:val="Normal"/>
    <w:next w:val="Normal"/>
    <w:qFormat/>
    <w:pPr>
      <w:numPr>
        <w:ilvl w:val="4"/>
        <w:numId w:val="1"/>
      </w:numPr>
      <w:tabs>
        <w:tab w:val="clear" w:pos="720"/>
        <w:tab w:val="left" w:pos="3600" w:leader="none"/>
      </w:tabs>
      <w:spacing w:before="0" w:after="240"/>
      <w:jc w:val="both"/>
      <w:outlineLvl w:val="4"/>
    </w:pPr>
    <w:rPr/>
  </w:style>
  <w:style w:type="paragraph" w:styleId="Heading6">
    <w:name w:val="heading 6"/>
    <w:basedOn w:val="Normal"/>
    <w:next w:val="Normal"/>
    <w:qFormat/>
    <w:pPr>
      <w:numPr>
        <w:ilvl w:val="5"/>
        <w:numId w:val="1"/>
      </w:numPr>
      <w:tabs>
        <w:tab w:val="clear" w:pos="720"/>
        <w:tab w:val="left" w:pos="4320" w:leader="none"/>
      </w:tabs>
      <w:spacing w:before="0" w:after="240"/>
      <w:jc w:val="both"/>
      <w:outlineLvl w:val="5"/>
    </w:pPr>
    <w:rPr/>
  </w:style>
  <w:style w:type="paragraph" w:styleId="Heading7">
    <w:name w:val="heading 7"/>
    <w:basedOn w:val="Normal"/>
    <w:next w:val="Normal"/>
    <w:qFormat/>
    <w:pPr>
      <w:numPr>
        <w:ilvl w:val="6"/>
        <w:numId w:val="1"/>
      </w:numPr>
      <w:tabs>
        <w:tab w:val="clear" w:pos="720"/>
        <w:tab w:val="left" w:pos="5040" w:leader="none"/>
      </w:tabs>
      <w:spacing w:before="240" w:after="60"/>
      <w:outlineLvl w:val="6"/>
    </w:pPr>
    <w:rPr/>
  </w:style>
  <w:style w:type="paragraph" w:styleId="Heading8">
    <w:name w:val="heading 8"/>
    <w:basedOn w:val="Normal"/>
    <w:next w:val="Normal"/>
    <w:qFormat/>
    <w:pPr>
      <w:numPr>
        <w:ilvl w:val="7"/>
        <w:numId w:val="1"/>
      </w:numPr>
      <w:tabs>
        <w:tab w:val="clear" w:pos="720"/>
        <w:tab w:val="left" w:pos="5760" w:leader="none"/>
      </w:tabs>
      <w:spacing w:before="240" w:after="60"/>
      <w:outlineLvl w:val="7"/>
    </w:pPr>
    <w:rPr/>
  </w:style>
  <w:style w:type="paragraph" w:styleId="Heading9">
    <w:name w:val="heading 9"/>
    <w:basedOn w:val="Normal"/>
    <w:next w:val="Normal"/>
    <w:qFormat/>
    <w:pPr>
      <w:numPr>
        <w:ilvl w:val="8"/>
        <w:numId w:val="1"/>
      </w:numPr>
      <w:tabs>
        <w:tab w:val="clear" w:pos="720"/>
        <w:tab w:val="left" w:pos="6480" w:leader="none"/>
      </w:tabs>
      <w:spacing w:before="240" w:after="60"/>
      <w:outlineLvl w:val="8"/>
    </w:pPr>
    <w:rPr/>
  </w:style>
  <w:style w:type="character" w:styleId="WW8Num3z0">
    <w:name w:val="WW8Num3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character" w:styleId="HidefromTOC">
    <w:name w:val="Hide from TOC"/>
    <w:basedOn w:val="DefaultParagraphFont"/>
    <w:qFormat/>
    <w:rPr>
      <w:vanish w:val="fals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FootnoteText">
    <w:name w:val="footnote text"/>
    <w:basedOn w:val="Normal"/>
    <w:pPr/>
    <w:rPr>
      <w:sz w:val="20"/>
    </w:rPr>
  </w:style>
  <w:style w:type="paragraph" w:styleId="BodyTextIndent">
    <w:name w:val="Body Text Indent"/>
    <w:basedOn w:val="Normal"/>
    <w:pPr>
      <w:ind w:firstLine="720" w:start="0" w:end="0"/>
      <w:jc w:val="both"/>
    </w:pPr>
    <w:rPr>
      <w:rFonts w:ascii="CG Times" w:hAnsi="CG Times" w:cs="CG Times"/>
    </w:rPr>
  </w:style>
  <w:style w:type="paragraph" w:styleId="BodyText2">
    <w:name w:val="Body Text 2"/>
    <w:basedOn w:val="Normal"/>
    <w:qFormat/>
    <w:pPr>
      <w:tabs>
        <w:tab w:val="clear" w:pos="720"/>
        <w:tab w:val="left" w:pos="4320" w:leader="none"/>
      </w:tabs>
    </w:pPr>
    <w:rPr>
      <w:rFonts w:ascii="CG Times" w:hAnsi="CG Times" w:cs="CG Times"/>
    </w:rPr>
  </w:style>
  <w:style w:type="paragraph" w:styleId="BodyText3">
    <w:name w:val="Body Text 3"/>
    <w:basedOn w:val="Normal"/>
    <w:qFormat/>
    <w:pPr>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2001-05-08T18:54:00Z</dcterms:created>
  <dc:creator>GIS</dc:creator>
  <dc:description/>
  <dc:language>en-CA</dc:language>
  <cp:lastModifiedBy>mpavlou</cp:lastModifiedBy>
  <cp:lastPrinted>2001-04-19T15:39:00Z</cp:lastPrinted>
  <dcterms:modified xsi:type="dcterms:W3CDTF">2001-05-08T18:54:00Z</dcterms:modified>
  <cp:revision>2</cp:revision>
  <dc:subject/>
  <dc:title>DRAFT – 3/28/01</dc:title>
</cp:coreProperties>
</file>