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Nos.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March 22,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 The revised tariff sheets reflect an amendment to an existing transportation agreement between Transwestern and USGT. This amendment extends the original term of the existing transportation agreement until March 31, 2003, adds additional alternate delivery points, sets forth revised rates for service to USGT’s primary delivery points, and establishes a negotiated rate for service to the alternate delivery points specified in the amendment.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and it should be denied.</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 xml:space="preserve">The CPUC fails to recognize the critical difference between market-based rates and negotiated rates. To obtain market-based rates, a pipeline must show that it “lacks significant market power,” and, only if such a showing is made, is the pipeline allowed to charge its customers market-based rates </w:t>
      </w:r>
      <w:r>
        <w:rPr>
          <w:u w:val="single"/>
        </w:rPr>
        <w:t>without offering a recourse rate as backstop</w:t>
      </w:r>
      <w:r>
        <w:rPr/>
        <w:t xml:space="preserve">./3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service.”/4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for a period of __ days in accordance with Transwestern’s tariff and Commission policy. When Transwestern posted this capacity on its web site, it gave notice to all potential shippers that there was available firm capacity at the identified locations.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negotiated the rates described in Transwestern’s filing in this proceeding.  </w:t>
      </w:r>
    </w:p>
    <w:p>
      <w:pPr>
        <w:pStyle w:val="Normal"/>
        <w:spacing w:lineRule="auto" w:line="480"/>
        <w:jc w:val="both"/>
        <w:rPr/>
      </w:pPr>
      <w:r>
        <w:rPr/>
        <w:tab/>
        <w:t>In light of the facts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xml:space="preserve">” market based rate. /5  As discussed above, however, this ignores the distinction that the Commission itself has made between negotiated and market based rates. The fact that a negotiated rate may fluctuate or at some point exceed the recourse rate does not make the negotiated rate a market based rate and is irrelevant. </w:t>
      </w:r>
    </w:p>
    <w:p>
      <w:pPr>
        <w:pStyle w:val="Normal"/>
        <w:jc w:val="both"/>
        <w:rPr/>
      </w:pPr>
      <w:r>
        <w:rPr/>
      </w:r>
    </w:p>
    <w:p>
      <w:pPr>
        <w:pStyle w:val="BodyText3"/>
        <w:spacing w:lineRule="auto" w:line="480"/>
        <w:rPr/>
      </w:pPr>
      <w:r>
        <w:rPr/>
        <w:tab/>
        <w:t xml:space="preserve">The Commission’s negotiated rate policy expressly provides for the freedom for the pipeline and the shipper to negotiate rates that differ from the maximum tariff rates. Negotiated rates may be higher than the maximum tariff rates, lower than the maximum tariff rates, and designed without any regard to costs.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 xml:space="preserve">The CPUC attempts to short-circuit this policy by alleging that “questions have arisen regarding discriminatory treatment of shippers in the process of noticing and awarding capacity…” / Presumably, the CPUC is referring to the proceeding in Docket No. RP97-288-09, in which the Commission is conducting an investigation into the negotiated rates charged by Transwestern to other firm shippers. What the CPUC neglects to mention is that the presiding administrative law judge in that proceeding has found no evidence of discriminatory treatment and has concluded that Transwestern awarded the capacity at issue in a fair and nondiscriminatory manner. / In this proceeding in particular, no shipper has alleged that the recourse rate was not available or that capacity was awarded on a discriminatory basis. The CPUC offers nothing more than speculation and innuendo. Accordingly, no basis exists for questioning Transwestern’s allocation of capacity or the availability of the recourse rate. </w:t>
      </w:r>
    </w:p>
    <w:p>
      <w:pPr>
        <w:pStyle w:val="Normal"/>
        <w:jc w:val="center"/>
        <w:rPr>
          <w:b/>
        </w:rPr>
      </w:pPr>
      <w:r>
        <w:rPr>
          <w:b/>
        </w:rPr>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also alleges that the USGT volumes subject to the  negotiated rate represent “approximately 23% of Transwestern’s combined eastward and westward capacity of 1.7 Bcf/d and approximately 40% of its westward capacity of 1.09 Bcf/d to California.” This allegation completely ignores the fact that the negotiated rate applies only to volumes delivered to </w:t>
      </w:r>
      <w:r>
        <w:rPr>
          <w:bCs/>
          <w:u w:val="single"/>
        </w:rPr>
        <w:t>alternate</w:t>
      </w:r>
      <w:r>
        <w:rPr>
          <w:bCs/>
        </w:rPr>
        <w:t xml:space="preserve"> delivery points. To accurately frame the issue, the volumes subject to the negotiated rate represent 0% of the combined eastward and westward capacity and 0% of the westward capacity to California using </w:t>
      </w:r>
      <w:r>
        <w:rPr>
          <w:bCs/>
          <w:u w:val="single"/>
        </w:rPr>
        <w:t>primary</w:t>
      </w:r>
      <w:r>
        <w:rPr>
          <w:bCs/>
        </w:rPr>
        <w:t xml:space="preserve"> delivery points. Under Transwestern’s tariff, volumes scheduled for delivery to alternate delivery points have the lowest priority of any firm service. /6 In fact during the period that the negotiated rates have been in effect, USGT has not transported </w:t>
      </w:r>
      <w:r>
        <w:rPr>
          <w:bCs/>
          <w:u w:val="single"/>
        </w:rPr>
        <w:t>any</w:t>
      </w:r>
      <w:r>
        <w:rPr>
          <w:bCs/>
        </w:rPr>
        <w:t xml:space="preserve"> volumes on Transwestern that would be subject to the negotiated rate. /7   </w:t>
      </w:r>
    </w:p>
    <w:p>
      <w:pPr>
        <w:pStyle w:val="Normal"/>
        <w:spacing w:lineRule="auto" w:line="480" w:before="0" w:after="100"/>
        <w:jc w:val="both"/>
        <w:rPr>
          <w:bCs/>
        </w:rPr>
      </w:pPr>
      <w:r>
        <w:rPr>
          <w:bCs/>
        </w:rPr>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involving all regulated natural gas pipelines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best that the CPUC can do is note that there is an “increasing use of negotiated rates”</w:t>
      </w:r>
    </w:p>
    <w:p>
      <w:pPr>
        <w:pStyle w:val="BodyText3"/>
        <w:ind w:start="720" w:end="0"/>
        <w:rPr>
          <w:bCs/>
        </w:rPr>
      </w:pPr>
      <w:r>
        <w:rPr>
          <w:bCs/>
        </w:rPr>
      </w:r>
    </w:p>
    <w:p>
      <w:pPr>
        <w:pStyle w:val="BodyText3"/>
        <w:spacing w:lineRule="auto" w:line="480"/>
        <w:rPr/>
      </w:pPr>
      <w:r>
        <w:rPr>
          <w:bCs/>
        </w:rPr>
        <w:t xml:space="preserve"> </w:t>
      </w:r>
      <w:r>
        <w:rPr>
          <w:bCs/>
        </w:rPr>
        <w:t xml:space="preserve">by Transwestern. Unfortunately, the CPUC neglects to mention that the negotiated rate agreement with USGT is currently the </w:t>
      </w:r>
      <w:r>
        <w:rPr>
          <w:bCs/>
          <w:u w:val="single"/>
        </w:rPr>
        <w:t>only</w:t>
      </w:r>
      <w:r>
        <w:rPr>
          <w:bCs/>
        </w:rPr>
        <w:t xml:space="preserve"> negotiated rate agreement in effect on Transwestern’s system. Even if it were not, however, the Commission has imposed no limits on the number of transactions subject to negotiated rates. One of the goals of the Commission’s policy is to provide increased flexibility to shippers. Negotiated rates may be higher than the maximum tariff rates, lower than the maximum tariff rates, and designed without any regard to costs. This  promotes the full utilization of available capacity, something which is in the interest of all shippers. In light of the Commission’s policy, the use of negotiated rates should be encouraged, not discouraged. Yet, this appears to be what the CPUC is advocating.</w:t>
      </w:r>
    </w:p>
    <w:p>
      <w:pPr>
        <w:pStyle w:val="BodyText3"/>
        <w:spacing w:lineRule="auto" w:line="480"/>
        <w:rPr/>
      </w:pPr>
      <w:r>
        <w:rPr/>
        <w:tab/>
        <w:t>Finally, the CPUC argues that, because the Commission is conducting an investigation of another Transwestern negotiated rate filing in Docket No. RP97-288-009,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It is burdensome and unfair to Transwestern to require that it be the subject of an investigation each time it makes a negotiated rate filing. Such a practice would, in fact, be contrary to the Commission’s negotiated rate policy, which expressly authorizes the use of negotiated rates. Evidently, the CPCU is trying to accomplish indirectly  what it was unable to do directly: thwart implementation of the 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Drew J. Fossum</w:t>
      </w:r>
    </w:p>
    <w:p>
      <w:pPr>
        <w:pStyle w:val="Normal"/>
        <w:tabs>
          <w:tab w:val="clear" w:pos="720"/>
          <w:tab w:val="left" w:pos="3600" w:leader="none"/>
          <w:tab w:val="left" w:pos="3960" w:leader="none"/>
          <w:tab w:val="left" w:pos="4590" w:leader="none"/>
        </w:tabs>
        <w:ind w:end="-180"/>
        <w:rPr/>
      </w:pPr>
      <w:r>
        <w:rPr/>
        <w:tab/>
        <w:tab/>
        <w:tab/>
        <w:t>Vice President and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__,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__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6</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w:t>
      </w:r>
      <w:r>
        <w:rPr>
          <w:rStyle w:val="FootnoteCharacters"/>
        </w:rPr>
        <w:t>?</w:t>
      </w:r>
      <w:r>
        <w:rPr/>
        <w:t xml:space="preserve">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2001-05-08T19:54:00Z</dcterms:created>
  <dc:creator>GIS</dc:creator>
  <dc:description/>
  <dc:language>en-CA</dc:language>
  <cp:lastModifiedBy>bill rapp</cp:lastModifiedBy>
  <cp:lastPrinted>2001-04-19T15:39:00Z</cp:lastPrinted>
  <dcterms:modified xsi:type="dcterms:W3CDTF">2001-11-15T22:00:00Z</dcterms:modified>
  <cp:revision>10</cp:revision>
  <dc:subject/>
  <dc:title>DRAFT – 3/28/01</dc:title>
</cp:coreProperties>
</file>