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3600" w:end="0"/>
        <w:rPr>
          <w:sz w:val="26"/>
        </w:rPr>
      </w:pPr>
      <w:r>
        <w:rPr>
          <w:sz w:val="26"/>
        </w:rPr>
        <w:t>97 FERC ¶  61, 245</w:t>
      </w:r>
    </w:p>
    <w:p>
      <w:pPr>
        <w:pStyle w:val="Normal"/>
        <w:widowControl/>
        <w:tabs>
          <w:tab w:val="clear" w:pos="720"/>
          <w:tab w:val="center" w:pos="4680" w:leader="none"/>
        </w:tabs>
        <w:rPr>
          <w:sz w:val="26"/>
        </w:rPr>
      </w:pPr>
      <w:r>
        <w:rPr>
          <w:sz w:val="26"/>
        </w:rPr>
        <w:tab/>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Before Commissioners: Pat Wood, III, Chairman;</w:t>
      </w:r>
    </w:p>
    <w:p>
      <w:pPr>
        <w:pStyle w:val="Normal"/>
        <w:widowControl/>
        <w:ind w:firstLine="2160" w:end="0"/>
        <w:rPr>
          <w:sz w:val="26"/>
        </w:rPr>
      </w:pPr>
      <w:r>
        <w:rPr>
          <w:sz w:val="26"/>
        </w:rPr>
        <w:t xml:space="preserve">     </w:t>
      </w:r>
      <w:r>
        <w:rPr>
          <w:sz w:val="26"/>
        </w:rPr>
        <w:t>William L. Massey, Linda Breathitt,</w:t>
      </w:r>
    </w:p>
    <w:p>
      <w:pPr>
        <w:pStyle w:val="Normal"/>
        <w:widowControl/>
        <w:ind w:firstLine="2160" w:end="0"/>
        <w:rPr>
          <w:sz w:val="26"/>
        </w:rPr>
      </w:pPr>
      <w:r>
        <w:rPr>
          <w:sz w:val="26"/>
        </w:rPr>
        <w:t xml:space="preserve">     </w:t>
      </w:r>
      <w:r>
        <w:rPr>
          <w:sz w:val="26"/>
        </w:rPr>
        <w:t>And Nora Mead Brownell.</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Transwestern Pipeline Company                                 Docket No. RP97-288-017</w:t>
      </w:r>
    </w:p>
    <w:p>
      <w:pPr>
        <w:pStyle w:val="Normal"/>
        <w:widowControl/>
        <w:rPr>
          <w:sz w:val="26"/>
        </w:rPr>
      </w:pPr>
      <w:r>
        <w:rPr>
          <w:sz w:val="26"/>
        </w:rPr>
      </w:r>
    </w:p>
    <w:p>
      <w:pPr>
        <w:pStyle w:val="Normal"/>
        <w:widowControl/>
        <w:jc w:val="center"/>
        <w:rPr>
          <w:sz w:val="26"/>
        </w:rPr>
      </w:pPr>
      <w:r>
        <w:rPr>
          <w:sz w:val="26"/>
        </w:rPr>
        <w:t>ORDER ACCEPTING AND SUSPENDING NEGOTIATED RATE AGREEMENTS, SUBJECT TO REFUND</w:t>
      </w:r>
    </w:p>
    <w:p>
      <w:pPr>
        <w:pStyle w:val="Normal"/>
        <w:widowControl/>
        <w:jc w:val="center"/>
        <w:rPr>
          <w:sz w:val="26"/>
        </w:rPr>
      </w:pPr>
      <w:r>
        <w:rPr>
          <w:sz w:val="26"/>
        </w:rPr>
      </w:r>
    </w:p>
    <w:p>
      <w:pPr>
        <w:pStyle w:val="Normal"/>
        <w:widowControl/>
        <w:jc w:val="center"/>
        <w:rPr>
          <w:sz w:val="26"/>
        </w:rPr>
      </w:pPr>
      <w:r>
        <w:rPr>
          <w:sz w:val="26"/>
        </w:rPr>
        <w:t>(Issued November 30, 2001)</w:t>
      </w:r>
    </w:p>
    <w:p>
      <w:pPr>
        <w:pStyle w:val="Normal"/>
        <w:widowControl/>
        <w:rPr>
          <w:sz w:val="26"/>
        </w:rPr>
      </w:pPr>
      <w:r>
        <w:rPr>
          <w:sz w:val="26"/>
        </w:rPr>
      </w:r>
    </w:p>
    <w:p>
      <w:pPr>
        <w:pStyle w:val="Normal"/>
        <w:widowControl/>
        <w:ind w:firstLine="720" w:end="0"/>
        <w:rPr/>
      </w:pPr>
      <w:r>
        <w:rPr>
          <w:sz w:val="26"/>
        </w:rPr>
        <w:t xml:space="preserve">On October 31, 2001, Transwestern Pipeline Company (Transwestern) filed tariff sheets </w:t>
      </w:r>
      <w:r>
        <w:rPr>
          <w:rStyle w:val="FootnoteCharacters"/>
          <w:rStyle w:val="FootnoteReference"/>
          <w:b/>
          <w:sz w:val="31"/>
          <w:vertAlign w:val="superscript"/>
        </w:rPr>
        <w:footnoteReference w:id="2"/>
      </w:r>
      <w:r>
        <w:rPr>
          <w:sz w:val="26"/>
        </w:rPr>
        <w:t xml:space="preserve"> to amend a negotiated rate Agreement with United States Gas Transmission, Inc./Aquila LP (USGT) under Rate Schedule FTS-1, effective November 1, 2001, that would have otherwise terminated October 31, 2001.  In addition, the negotiated rate was changed and delivery points were added.  The Commission accepts and suspends the proposed negotiated rate agreement, to be effective as proposed, subject to refund and further order by the Commission.  </w:t>
      </w:r>
    </w:p>
    <w:p>
      <w:pPr>
        <w:pStyle w:val="Normal"/>
        <w:widowControl/>
        <w:rPr>
          <w:sz w:val="26"/>
        </w:rPr>
      </w:pPr>
      <w:r>
        <w:rPr>
          <w:sz w:val="26"/>
        </w:rPr>
      </w:r>
    </w:p>
    <w:p>
      <w:pPr>
        <w:pStyle w:val="Normal"/>
        <w:widowControl/>
        <w:ind w:firstLine="720" w:end="0"/>
        <w:rPr/>
      </w:pPr>
      <w:r>
        <w:rPr>
          <w:sz w:val="26"/>
        </w:rPr>
        <w:t xml:space="preserve">The negotiated service agreement with USGT includes an MDQ of 400,000 MMBtu.  No term has been specified.  The rate for all West of Thoreau deliveries to SoCal Needles (#10487) is derived by taking the commodity price for natural gas as reported in </w:t>
      </w:r>
      <w:r>
        <w:rPr>
          <w:sz w:val="26"/>
          <w:u w:val="single"/>
        </w:rPr>
        <w:t>Gas Daily</w:t>
      </w:r>
      <w:r>
        <w:rPr>
          <w:sz w:val="26"/>
        </w:rPr>
        <w:t xml:space="preserve">  SoCal gas large pkgs., minus the commodity price for natural gas as reported in </w:t>
      </w:r>
      <w:r>
        <w:rPr>
          <w:sz w:val="26"/>
          <w:u w:val="single"/>
        </w:rPr>
        <w:t>Gas Daily</w:t>
      </w:r>
      <w:r>
        <w:rPr>
          <w:sz w:val="26"/>
        </w:rPr>
        <w:t xml:space="preserve"> Permian Basin Area, Transwestern, minus the reservation charge for East to East flow ($0.025/MMBtu), minus fuel, times 30%.  The rate for all West of Thoreau deliveries to PG&amp;E Topock (#56698), uses the same formula but starts with the commodity price for natural gas as reported in </w:t>
      </w:r>
      <w:r>
        <w:rPr>
          <w:sz w:val="26"/>
          <w:u w:val="single"/>
        </w:rPr>
        <w:t>Gas Daily</w:t>
      </w:r>
      <w:r>
        <w:rPr>
          <w:sz w:val="26"/>
        </w:rPr>
        <w:t xml:space="preserve"> PG&amp;E large pkgs.  Likewise, the rate for all West of Thoreau deliveries to locations other than PG&amp;E Topock (#56698) and SoCal Needles (#10487), uses the same formula, but starts with the lower of the commodity price for natural gas as reported in </w:t>
      </w:r>
      <w:r>
        <w:rPr>
          <w:sz w:val="26"/>
          <w:u w:val="single"/>
        </w:rPr>
        <w:t>Gas Daily</w:t>
      </w:r>
      <w:r>
        <w:rPr>
          <w:sz w:val="26"/>
        </w:rPr>
        <w:t xml:space="preserve"> PG&amp;E large pkgs., or SoCal gas, large pkgs.  In all cases, the resulting rates shall not be less than $0.0246/MMBtu. </w:t>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rPr>
          <w:sz w:val="26"/>
        </w:rPr>
      </w:pPr>
      <w:r>
        <w:rPr>
          <w:sz w:val="26"/>
        </w:rPr>
      </w:r>
    </w:p>
    <w:p>
      <w:pPr>
        <w:pStyle w:val="Normal"/>
        <w:keepNext w:val="true"/>
        <w:keepLines/>
        <w:widowControl/>
        <w:rPr/>
      </w:pPr>
      <w:r>
        <w:rPr>
          <w:sz w:val="26"/>
          <w:u w:val="single"/>
        </w:rPr>
        <w:t>Notice, Interventions and Protests</w:t>
      </w:r>
      <w:r>
        <w:rPr>
          <w:sz w:val="26"/>
        </w:rPr>
        <w:t xml:space="preserve"> </w:t>
      </w:r>
    </w:p>
    <w:p>
      <w:pPr>
        <w:pStyle w:val="Normal"/>
        <w:keepNext w:val="true"/>
        <w:keepLines/>
        <w:widowControl/>
        <w:rPr>
          <w:sz w:val="26"/>
        </w:rPr>
      </w:pPr>
      <w:r>
        <w:rPr>
          <w:sz w:val="26"/>
        </w:rPr>
      </w:r>
    </w:p>
    <w:p>
      <w:pPr>
        <w:pStyle w:val="Normal"/>
        <w:keepLines/>
        <w:widowControl/>
        <w:ind w:firstLine="720" w:end="0"/>
        <w:rPr/>
      </w:pPr>
      <w:r>
        <w:rPr>
          <w:sz w:val="26"/>
        </w:rPr>
        <w:t>The subject filing was noticed on November 5, 2001.  Protests, comments and interventions were due, as provided in section 154.210 of the Commission's regulations.</w:t>
      </w:r>
      <w:r>
        <w:rPr>
          <w:rStyle w:val="FootnoteCharacters"/>
          <w:rStyle w:val="FootnoteReference"/>
          <w:b/>
          <w:sz w:val="31"/>
          <w:vertAlign w:val="superscript"/>
        </w:rPr>
        <w:footnoteReference w:id="3"/>
      </w:r>
      <w:r>
        <w:rPr>
          <w:sz w:val="26"/>
        </w:rPr>
        <w:t xml:space="preserve">  Pursuant to Rule 214 (18 C.F.R. § 385.214 (2001)), all timely filed motions to intervene filed before the issuance date of this order and any motions to intervene out-of-time are granted.  Granting late interventions at this stage of the proceedings will not disrupt the proceeding or place additional burdens on existing parties.  A protest was filed by The Public Utilities Commission of the State of California (CPUC).</w:t>
      </w:r>
    </w:p>
    <w:p>
      <w:pPr>
        <w:pStyle w:val="Normal"/>
        <w:widowControl/>
        <w:rPr>
          <w:sz w:val="26"/>
        </w:rPr>
      </w:pPr>
      <w:r>
        <w:rPr>
          <w:sz w:val="26"/>
        </w:rPr>
      </w:r>
    </w:p>
    <w:p>
      <w:pPr>
        <w:pStyle w:val="Normal"/>
        <w:widowControl/>
        <w:ind w:firstLine="720" w:end="0"/>
        <w:rPr>
          <w:sz w:val="26"/>
        </w:rPr>
      </w:pPr>
      <w:r>
        <w:rPr>
          <w:sz w:val="26"/>
        </w:rPr>
        <w:t xml:space="preserve">The CPUC protested and requested a technical conference and/or hearing to investigate whether the maximum recourse rate is in fact functioning to assure fair and reasonable use of negotiated rates by a pipeline with market power.  CPUC asserts the new contract applies to subscribed firm capacity, not operational capacity. </w:t>
      </w:r>
    </w:p>
    <w:p>
      <w:pPr>
        <w:pStyle w:val="Normal"/>
        <w:widowControl/>
        <w:rPr>
          <w:sz w:val="26"/>
        </w:rPr>
      </w:pPr>
      <w:r>
        <w:rPr>
          <w:sz w:val="26"/>
        </w:rPr>
        <w:t>The amended contract represents 23% of Transwestern’s combined eastward and westward capacity of 1.7 Bcf/d and approximately 40% of its westward capacity of 1.09 Bcf/d to California.  The revised rates increase the negotiated reservation charge for East-to-East flows from the negotiated rate previously in effect.  For East-to-West flows, the former two-part rate is replaced by a one-part usage rate (combined reservation and commodity rate).  In addition, nominations for alternate points are made equal to nominations at primary points as early as the second cycle in the scheduling process.  CPUC notes that the Commission requires a viable recourse rate be available to shippers, if the pipeline wants to use negotiated rates.  CPUC states the Commission should carefully consider the implications of Transwestern’s course to transform its pipeline into a market-based pipeline market-based rate approval.  Moreover, CPUC states, Transwestern’s negotiated rate formula appears to be resulting in rates far more than 10% above the recourse rate.  The specific issues to be addressed at a hearing include questions as to whether all shippers had been treated in a nondiscriminatory manner with respect to the posting and awarding of capacity, whether Transwestern’s use of market power resulted in shippers having agreed to pay rates much higher than Transwestern’s recourse rate.   CPUC requests the same inquiries into USGT contract as were made in Transwestern’s filings in RP97-288-009 to -016.</w:t>
      </w:r>
    </w:p>
    <w:p>
      <w:pPr>
        <w:pStyle w:val="Normal"/>
        <w:widowControl/>
        <w:rPr>
          <w:sz w:val="26"/>
        </w:rPr>
      </w:pPr>
      <w:r>
        <w:rPr>
          <w:sz w:val="26"/>
        </w:rPr>
      </w:r>
    </w:p>
    <w:p>
      <w:pPr>
        <w:pStyle w:val="Normal"/>
        <w:keepNext w:val="true"/>
        <w:keepLines/>
        <w:widowControl/>
        <w:rPr/>
      </w:pPr>
      <w:r>
        <w:rPr>
          <w:sz w:val="26"/>
          <w:u w:val="single"/>
        </w:rPr>
        <w:t>Discussion</w:t>
      </w:r>
      <w:r>
        <w:rPr>
          <w:sz w:val="26"/>
        </w:rPr>
        <w:t xml:space="preserve"> </w:t>
      </w:r>
    </w:p>
    <w:p>
      <w:pPr>
        <w:pStyle w:val="Normal"/>
        <w:keepNext w:val="true"/>
        <w:keepLines/>
        <w:widowControl/>
        <w:rPr>
          <w:sz w:val="26"/>
        </w:rPr>
      </w:pPr>
      <w:r>
        <w:rPr>
          <w:sz w:val="26"/>
        </w:rPr>
      </w:r>
    </w:p>
    <w:p>
      <w:pPr>
        <w:pStyle w:val="Normal"/>
        <w:keepLines/>
        <w:widowControl/>
        <w:ind w:firstLine="720" w:end="0"/>
        <w:rPr>
          <w:sz w:val="26"/>
        </w:rPr>
      </w:pPr>
      <w:r>
        <w:rPr>
          <w:sz w:val="26"/>
        </w:rPr>
        <w:t xml:space="preserve">Transwestern’s filing in this proceeding does not allow the Commission to make an informed decision with regard to the negotiated rate contract and the issues raised by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rPr>
      </w:pPr>
      <w:r>
        <w:rPr>
          <w:sz w:val="26"/>
        </w:rPr>
        <w:t>the CPUC.  Our preliminary review of this docket indicates that the proposed rate may be unjust, unreasonable, and unduly discriminatory.  Accordingly, the Commission directs Transwestern and USGT to provide responses to the questions listed in the appendix to this order.  Parties to the proceeding may file additional comments within 10 days of the responses.  Therefore, the Commission will suspend the effectiveness of the proposed tariff sheets, as discussed below, subject to further order of the Commission.  The need for further procedures will be decided at a later date.</w:t>
      </w:r>
    </w:p>
    <w:p>
      <w:pPr>
        <w:pStyle w:val="Normal"/>
        <w:widowControl/>
        <w:rPr>
          <w:sz w:val="26"/>
        </w:rPr>
      </w:pPr>
      <w:r>
        <w:rPr>
          <w:sz w:val="26"/>
        </w:rPr>
      </w:r>
    </w:p>
    <w:p>
      <w:pPr>
        <w:pStyle w:val="Normal"/>
        <w:widowControl/>
        <w:rPr/>
      </w:pPr>
      <w:r>
        <w:rPr>
          <w:sz w:val="26"/>
          <w:u w:val="single"/>
        </w:rPr>
        <w:t>Suspension</w:t>
      </w:r>
      <w:r>
        <w:rPr>
          <w:sz w:val="26"/>
        </w:rPr>
        <w:t xml:space="preserve">  </w:t>
      </w:r>
    </w:p>
    <w:p>
      <w:pPr>
        <w:pStyle w:val="Normal"/>
        <w:widowControl/>
        <w:rPr>
          <w:sz w:val="26"/>
        </w:rPr>
      </w:pPr>
      <w:r>
        <w:rPr>
          <w:sz w:val="26"/>
        </w:rPr>
      </w:r>
    </w:p>
    <w:p>
      <w:pPr>
        <w:pStyle w:val="Normal"/>
        <w:widowControl/>
        <w:ind w:firstLine="720" w:end="0"/>
        <w:rPr>
          <w:sz w:val="26"/>
        </w:rPr>
      </w:pPr>
      <w:r>
        <w:rPr>
          <w:sz w:val="26"/>
        </w:rPr>
        <w:t>Based upon a review of the filing, the Commission finds that the proposed tariff sheets have not been shown to be just and reasonable, and my be unjust, unreasonable, unduly discriminatory, or otherwise unlawful.  Accordingly, the Commission will accept the negotiated rate agreements for filing and suspend their effectiveness for the period set forth below, and permit them to become effective, subject to refund.</w:t>
      </w:r>
    </w:p>
    <w:p>
      <w:pPr>
        <w:pStyle w:val="Normal"/>
        <w:widowControl/>
        <w:rPr>
          <w:sz w:val="26"/>
        </w:rPr>
      </w:pPr>
      <w:r>
        <w:rPr>
          <w:sz w:val="26"/>
        </w:rPr>
      </w:r>
    </w:p>
    <w:p>
      <w:pPr>
        <w:pStyle w:val="Normal"/>
        <w:widowControl/>
        <w:ind w:firstLine="720" w:end="0"/>
        <w:rPr/>
      </w:pPr>
      <w:r>
        <w:rPr>
          <w:sz w:val="26"/>
        </w:rPr>
        <w:t>The Commission’s policy regarding rate suspensions is that rate filings generally should be suspended for the maximum period permitted by statute where preliminary study leads the Commission to believe that the filing may be unjust, unreasonable, or inconsistent with other statutory standards.</w:t>
      </w:r>
      <w:r>
        <w:rPr>
          <w:rStyle w:val="FootnoteCharacters"/>
          <w:rStyle w:val="FootnoteReference"/>
          <w:b/>
          <w:sz w:val="31"/>
          <w:vertAlign w:val="superscript"/>
        </w:rPr>
        <w:footnoteReference w:id="4"/>
      </w:r>
      <w:r>
        <w:rPr>
          <w:sz w:val="26"/>
        </w:rPr>
        <w:t xml:space="preserve">  It recognizes, however, that shorter suspensions may be warranted in circumstances where suspension for the maximum period may lead to harsh and inequitable results.</w:t>
      </w:r>
      <w:r>
        <w:rPr>
          <w:rStyle w:val="FootnoteCharacters"/>
          <w:rStyle w:val="FootnoteReference"/>
          <w:b/>
          <w:sz w:val="31"/>
          <w:vertAlign w:val="superscript"/>
        </w:rPr>
        <w:footnoteReference w:id="5"/>
      </w:r>
      <w:r>
        <w:rPr>
          <w:sz w:val="26"/>
        </w:rPr>
        <w:t xml:space="preserve">  Such circumstances exist here where the Commission is reviewing negotiated rate agreements that were filed in accordance with the procedures in the Commission’s negotiated rate policy.  Therefore, the Commission will exercise its discretion to suspend the rates for a shorter period and permit the rates to take effect as proposed, subject to refund.</w:t>
      </w:r>
    </w:p>
    <w:p>
      <w:pPr>
        <w:pStyle w:val="Normal"/>
        <w:widowControl/>
        <w:rPr>
          <w:sz w:val="26"/>
        </w:rPr>
      </w:pPr>
      <w:r>
        <w:rPr>
          <w:sz w:val="26"/>
        </w:rPr>
      </w:r>
    </w:p>
    <w:p>
      <w:pPr>
        <w:pStyle w:val="Normal"/>
        <w:widowControl/>
        <w:rPr>
          <w:sz w:val="26"/>
          <w:u w:val="single"/>
        </w:rPr>
      </w:pPr>
      <w:r>
        <w:rPr>
          <w:sz w:val="26"/>
          <w:u w:val="single"/>
        </w:rPr>
        <w:t>The Commission orders:</w:t>
      </w:r>
    </w:p>
    <w:p>
      <w:pPr>
        <w:pStyle w:val="Normal"/>
        <w:widowControl/>
        <w:rPr>
          <w:sz w:val="26"/>
          <w:u w:val="single"/>
        </w:rPr>
      </w:pPr>
      <w:r>
        <w:rPr>
          <w:sz w:val="26"/>
          <w:u w:val="single"/>
        </w:rPr>
      </w:r>
    </w:p>
    <w:p>
      <w:pPr>
        <w:pStyle w:val="Normal"/>
        <w:widowControl/>
        <w:ind w:firstLine="720" w:end="0"/>
        <w:rPr>
          <w:sz w:val="26"/>
        </w:rPr>
      </w:pPr>
      <w:r>
        <w:rPr>
          <w:sz w:val="26"/>
        </w:rPr>
        <w:t>(A) Waiver of the notice requirement is granted and the negotiated rate contract is accepted and suspended, subject to refund, the outcome of Transwestern cases in RP97-288-009 through -016, and further review as discussed in the body of this order, to be effective November 1, 2001.</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(B) Transwestern and USGT are directed to respond to the questions listed on the Appendix within 15 days of the date of the order.  Parties to this proceeding may file comments to the responses within 10 days thereafter.</w:t>
      </w:r>
      <w:bookmarkStart w:id="0" w:name="QuickMark"/>
      <w:bookmarkEnd w:id="0"/>
    </w:p>
    <w:p>
      <w:pPr>
        <w:pStyle w:val="Normal"/>
        <w:widowControl/>
        <w:rPr>
          <w:sz w:val="26"/>
        </w:rPr>
      </w:pPr>
      <w:r>
        <w:rPr>
          <w:sz w:val="26"/>
        </w:rPr>
      </w:r>
    </w:p>
    <w:p>
      <w:pPr>
        <w:pStyle w:val="Normal"/>
        <w:widowControl/>
        <w:rPr>
          <w:sz w:val="26"/>
        </w:rPr>
      </w:pPr>
      <w:r>
        <w:rPr>
          <w:sz w:val="26"/>
        </w:rPr>
        <w:t>By the Commission.</w:t>
      </w:r>
    </w:p>
    <w:p>
      <w:pPr>
        <w:pStyle w:val="Normal"/>
        <w:widowControl/>
        <w:rPr>
          <w:sz w:val="26"/>
        </w:rPr>
      </w:pPr>
      <w:r>
        <w:rPr>
          <w:sz w:val="26"/>
        </w:rPr>
      </w:r>
    </w:p>
    <w:p>
      <w:pPr>
        <w:pStyle w:val="Normal"/>
        <w:widowControl/>
        <w:rPr>
          <w:sz w:val="26"/>
        </w:rPr>
      </w:pPr>
      <w:r>
        <w:rPr>
          <w:sz w:val="26"/>
        </w:rPr>
        <w:t>( S E A L )</w:t>
      </w:r>
    </w:p>
    <w:p>
      <w:pPr>
        <w:pStyle w:val="Normal"/>
        <w:widowControl/>
        <w:rPr>
          <w:sz w:val="26"/>
        </w:rPr>
      </w:pPr>
      <w:r>
        <w:rPr>
          <w:sz w:val="26"/>
        </w:rPr>
      </w:r>
    </w:p>
    <w:p>
      <w:pPr>
        <w:pStyle w:val="Normal"/>
        <w:widowControl/>
        <w:rPr>
          <w:sz w:val="26"/>
        </w:rPr>
      </w:pPr>
      <w:r>
        <w:rPr>
          <w:sz w:val="26"/>
        </w:rPr>
      </w:r>
    </w:p>
    <w:p>
      <w:pPr>
        <w:pStyle w:val="Normal"/>
        <w:widowControl/>
        <w:ind w:firstLine="5040" w:end="0"/>
        <w:rPr>
          <w:sz w:val="26"/>
        </w:rPr>
      </w:pPr>
      <w:r>
        <w:rPr>
          <w:sz w:val="26"/>
        </w:rPr>
        <w:t>David P. Boergers,</w:t>
      </w:r>
    </w:p>
    <w:p>
      <w:pPr>
        <w:pStyle w:val="Normal"/>
        <w:widowControl/>
        <w:ind w:firstLine="5040" w:end="0"/>
        <w:rPr>
          <w:sz w:val="26"/>
        </w:rPr>
      </w:pPr>
      <w:r>
        <w:rPr>
          <w:sz w:val="26"/>
        </w:rPr>
        <w:t xml:space="preserve">      </w:t>
      </w:r>
      <w:r>
        <w:rPr>
          <w:sz w:val="26"/>
        </w:rPr>
        <w:t>Secretary.</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920" w:end="0"/>
        <w:rPr>
          <w:sz w:val="26"/>
        </w:rPr>
      </w:pPr>
      <w:r>
        <w:rPr>
          <w:sz w:val="26"/>
        </w:rPr>
        <w:t>Appendix</w:t>
      </w:r>
    </w:p>
    <w:p>
      <w:pPr>
        <w:pStyle w:val="Normal"/>
        <w:widowControl/>
        <w:ind w:firstLine="7920" w:end="0"/>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680" w:leader="none"/>
        </w:tabs>
        <w:rPr>
          <w:sz w:val="26"/>
        </w:rPr>
      </w:pPr>
      <w:r>
        <w:rPr>
          <w:sz w:val="26"/>
        </w:rPr>
        <w:tab/>
        <w:t>Transwestern Pipeline Company</w:t>
      </w:r>
    </w:p>
    <w:p>
      <w:pPr>
        <w:pStyle w:val="Normal"/>
        <w:widowControl/>
        <w:tabs>
          <w:tab w:val="clear" w:pos="720"/>
          <w:tab w:val="center" w:pos="4680" w:leader="none"/>
        </w:tabs>
        <w:rPr>
          <w:sz w:val="26"/>
        </w:rPr>
      </w:pPr>
      <w:r>
        <w:rPr>
          <w:sz w:val="26"/>
        </w:rPr>
        <w:tab/>
        <w:t>Docket No. RP97-288-017</w:t>
      </w:r>
    </w:p>
    <w:p>
      <w:pPr>
        <w:pStyle w:val="Normal"/>
        <w:widowControl/>
        <w:rPr>
          <w:sz w:val="26"/>
        </w:rPr>
      </w:pPr>
      <w:r>
        <w:rPr>
          <w:sz w:val="26"/>
        </w:rPr>
      </w:r>
    </w:p>
    <w:p>
      <w:pPr>
        <w:pStyle w:val="Normal"/>
        <w:widowControl/>
        <w:rPr>
          <w:sz w:val="26"/>
        </w:rPr>
      </w:pPr>
      <w:r>
        <w:rPr>
          <w:sz w:val="26"/>
        </w:rPr>
      </w:r>
    </w:p>
    <w:p>
      <w:pPr>
        <w:pStyle w:val="Normal"/>
        <w:widowControl/>
        <w:rPr/>
      </w:pPr>
      <w:r>
        <w:rPr>
          <w:sz w:val="26"/>
          <w:u w:val="single"/>
        </w:rPr>
        <w:t>Questions for Transwestern</w:t>
      </w:r>
      <w:r>
        <w:rPr>
          <w:sz w:val="26"/>
        </w:rPr>
        <w:t xml:space="preserve"> </w:t>
      </w:r>
    </w:p>
    <w:p>
      <w:pPr>
        <w:pStyle w:val="Normal"/>
        <w:widowControl/>
        <w:rPr>
          <w:sz w:val="26"/>
        </w:rPr>
      </w:pPr>
      <w:r>
        <w:rPr>
          <w:sz w:val="26"/>
        </w:rPr>
      </w:r>
    </w:p>
    <w:p>
      <w:pPr>
        <w:pStyle w:val="Level1"/>
        <w:widowControl/>
        <w:numPr>
          <w:ilvl w:val="0"/>
          <w:numId w:val="1"/>
        </w:numPr>
        <w:tabs>
          <w:tab w:val="left" w:pos="-1440" w:leader="none"/>
          <w:tab w:val="left" w:pos="720" w:leader="none"/>
        </w:tabs>
        <w:rPr>
          <w:sz w:val="26"/>
        </w:rPr>
      </w:pPr>
      <w:r>
        <w:rPr>
          <w:sz w:val="26"/>
        </w:rPr>
        <w:t>Please explain whether the capacity contracted to USGT was posted on Transwestern’s web site.  Also, explain whether there were any other bids or requests for this capacity.  If yes, please identify the bidder(s) and the rate(s) bid.</w:t>
      </w:r>
    </w:p>
    <w:p>
      <w:pPr>
        <w:pStyle w:val="Normal"/>
        <w:widowControl/>
        <w:rPr>
          <w:sz w:val="26"/>
        </w:rPr>
      </w:pPr>
      <w:r>
        <w:rPr>
          <w:sz w:val="26"/>
        </w:rPr>
      </w:r>
    </w:p>
    <w:p>
      <w:pPr>
        <w:pStyle w:val="Normal"/>
        <w:widowControl/>
        <w:tabs>
          <w:tab w:val="clear" w:pos="720"/>
          <w:tab w:val="left" w:pos="-1440" w:leader="none"/>
        </w:tabs>
        <w:ind w:hanging="720" w:start="720" w:end="0"/>
        <w:rPr>
          <w:sz w:val="26"/>
        </w:rPr>
      </w:pPr>
      <w:r>
        <w:rPr>
          <w:sz w:val="26"/>
        </w:rPr>
        <w:t>2</w:t>
        <w:tab/>
        <w:t>Please state whether the proposed contracts were offered at the Rate Schedule FTS-1 recourse rate.  If not, please explain.</w:t>
      </w:r>
    </w:p>
    <w:p>
      <w:pPr>
        <w:pStyle w:val="Normal"/>
        <w:widowControl/>
        <w:rPr>
          <w:sz w:val="26"/>
        </w:rPr>
      </w:pPr>
      <w:r>
        <w:rPr>
          <w:sz w:val="26"/>
        </w:rPr>
      </w:r>
    </w:p>
    <w:p>
      <w:pPr>
        <w:pStyle w:val="Level1"/>
        <w:widowControl/>
        <w:numPr>
          <w:ilvl w:val="0"/>
          <w:numId w:val="2"/>
        </w:numPr>
        <w:tabs>
          <w:tab w:val="left" w:pos="-1440" w:leader="none"/>
          <w:tab w:val="left" w:pos="720" w:leader="none"/>
        </w:tabs>
        <w:rPr>
          <w:sz w:val="26"/>
        </w:rPr>
      </w:pPr>
      <w:r>
        <w:rPr>
          <w:sz w:val="26"/>
        </w:rPr>
        <w:t>Please provide a copy of Transwestern’s contract with USGT.</w:t>
      </w:r>
    </w:p>
    <w:p>
      <w:pPr>
        <w:pStyle w:val="Normal"/>
        <w:widowControl/>
        <w:rPr>
          <w:sz w:val="26"/>
        </w:rPr>
      </w:pPr>
      <w:r>
        <w:rPr>
          <w:sz w:val="26"/>
        </w:rPr>
      </w:r>
    </w:p>
    <w:p>
      <w:pPr>
        <w:pStyle w:val="Normal"/>
        <w:widowControl/>
        <w:tabs>
          <w:tab w:val="clear" w:pos="720"/>
          <w:tab w:val="left" w:pos="-1440" w:leader="none"/>
        </w:tabs>
        <w:ind w:hanging="720" w:start="720" w:end="0"/>
        <w:rPr>
          <w:sz w:val="26"/>
        </w:rPr>
      </w:pPr>
      <w:r>
        <w:rPr>
          <w:sz w:val="26"/>
        </w:rPr>
        <w:t>4.</w:t>
        <w:tab/>
        <w:t>Please provide a schedule detailing, by day, volumes transported and the actual transportation charged.</w:t>
      </w:r>
    </w:p>
    <w:p>
      <w:pPr>
        <w:pStyle w:val="Normal"/>
        <w:widowControl/>
        <w:rPr>
          <w:sz w:val="26"/>
        </w:rPr>
      </w:pPr>
      <w:r>
        <w:rPr>
          <w:sz w:val="26"/>
        </w:rPr>
      </w:r>
    </w:p>
    <w:p>
      <w:pPr>
        <w:pStyle w:val="Normal"/>
        <w:widowControl/>
        <w:rPr>
          <w:sz w:val="26"/>
        </w:rPr>
      </w:pPr>
      <w:r>
        <w:rPr>
          <w:sz w:val="26"/>
        </w:rPr>
      </w:r>
    </w:p>
    <w:p>
      <w:pPr>
        <w:pStyle w:val="Normal"/>
        <w:widowControl/>
        <w:rPr/>
      </w:pPr>
      <w:r>
        <w:rPr>
          <w:sz w:val="26"/>
          <w:u w:val="single"/>
        </w:rPr>
        <w:t>Questions for USGT</w:t>
      </w:r>
      <w:r>
        <w:rPr>
          <w:sz w:val="26"/>
        </w:rPr>
        <w:t xml:space="preserve">  </w:t>
      </w:r>
    </w:p>
    <w:p>
      <w:pPr>
        <w:pStyle w:val="Normal"/>
        <w:widowControl/>
        <w:rPr>
          <w:sz w:val="26"/>
        </w:rPr>
      </w:pPr>
      <w:r>
        <w:rPr>
          <w:sz w:val="26"/>
        </w:rPr>
      </w:r>
    </w:p>
    <w:p>
      <w:pPr>
        <w:pStyle w:val="Level1"/>
        <w:widowControl/>
        <w:numPr>
          <w:ilvl w:val="0"/>
          <w:numId w:val="3"/>
        </w:numPr>
        <w:tabs>
          <w:tab w:val="left" w:pos="-1440" w:leader="none"/>
          <w:tab w:val="left" w:pos="720" w:leader="none"/>
        </w:tabs>
        <w:rPr>
          <w:sz w:val="26"/>
        </w:rPr>
      </w:pPr>
      <w:r>
        <w:rPr>
          <w:sz w:val="26"/>
        </w:rPr>
        <w:t>Please state why USGT chose the rate formulas under this negotiated rate contract rather than contracting with Transwestern at the Rate Schedule FTS-1 recourse rate.</w:t>
      </w:r>
    </w:p>
    <w:p>
      <w:pPr>
        <w:pStyle w:val="Normal"/>
        <w:widowControl/>
        <w:rPr>
          <w:sz w:val="26"/>
        </w:rPr>
      </w:pPr>
      <w:r>
        <w:rPr>
          <w:sz w:val="26"/>
        </w:rPr>
      </w:r>
    </w:p>
    <w:p>
      <w:pPr>
        <w:pStyle w:val="Level1"/>
        <w:widowControl/>
        <w:numPr>
          <w:ilvl w:val="0"/>
          <w:numId w:val="3"/>
        </w:numPr>
        <w:tabs>
          <w:tab w:val="left" w:pos="-1440" w:leader="none"/>
          <w:tab w:val="left" w:pos="720" w:leader="none"/>
        </w:tabs>
        <w:rPr>
          <w:sz w:val="26"/>
        </w:rPr>
      </w:pPr>
      <w:r>
        <w:rPr>
          <w:sz w:val="26"/>
        </w:rPr>
        <w:t>Please state what other options are available to USGT for moving its gas.</w:t>
      </w:r>
    </w:p>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12 Revised Sheet No. 5B.05 and Fourth Revised Sheet No. 5B.06 to FERC Gas Tariff, Second Revised Volume No. 1.</w:t>
      </w:r>
    </w:p>
  </w:footnote>
  <w:footnote w:id="3">
    <w:p>
      <w:pPr>
        <w:pStyle w:val="Normal"/>
        <w:spacing w:before="0" w:after="240"/>
        <w:ind w:firstLine="720" w:end="0"/>
        <w:rPr/>
      </w:pPr>
      <w:r>
        <w:rPr>
          <w:rStyle w:val="FootnoteCharacters"/>
        </w:rPr>
        <w:footnoteRef/>
      </w:r>
      <w:r>
        <w:rPr>
          <w:sz w:val="26"/>
        </w:rPr>
        <w:t>18 C.F.R. § 154.210 (2000).</w:t>
      </w:r>
    </w:p>
  </w:footnote>
  <w:footnote w:id="4">
    <w:p>
      <w:pPr>
        <w:pStyle w:val="Normal"/>
        <w:spacing w:before="0" w:after="240"/>
        <w:ind w:firstLine="720" w:end="0"/>
        <w:rPr/>
      </w:pPr>
      <w:r>
        <w:rPr>
          <w:rStyle w:val="FootnoteCharacters"/>
        </w:rPr>
        <w:footnoteRef/>
      </w:r>
      <w:r>
        <w:rPr>
          <w:sz w:val="26"/>
          <w:u w:val="single"/>
        </w:rPr>
        <w:t>See</w:t>
      </w:r>
      <w:r>
        <w:rPr>
          <w:sz w:val="26"/>
        </w:rPr>
        <w:t xml:space="preserve"> Great Lake Gas Transmission Co., 12 FERC  ¶ 61,197 (1990) (ordering five month suspension).</w:t>
      </w:r>
    </w:p>
  </w:footnote>
  <w:footnote w:id="5">
    <w:p>
      <w:pPr>
        <w:pStyle w:val="Normal"/>
        <w:spacing w:before="0" w:after="240"/>
        <w:ind w:firstLine="720" w:end="0"/>
        <w:rPr/>
      </w:pPr>
      <w:r>
        <w:rPr>
          <w:rStyle w:val="FootnoteCharacters"/>
        </w:rPr>
        <w:footnoteRef/>
      </w:r>
      <w:r>
        <w:rPr>
          <w:sz w:val="26"/>
          <w:u w:val="single"/>
        </w:rPr>
        <w:t>See</w:t>
      </w:r>
      <w:r>
        <w:rPr>
          <w:sz w:val="26"/>
        </w:rPr>
        <w:t xml:space="preserve"> Valley Gas Transmission, Inc., 12 FERC ¶ 61,197 (1980) (ordering one day suspension).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6"/>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3"/>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rFonts w:ascii="Times New Roman" w:hAnsi="Times New Roman" w:cs="Times New Roman"/>
      <w:sz w:val="26"/>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3"/>
      </w:numPr>
      <w:tabs>
        <w:tab w:val="clear" w:pos="720"/>
      </w:tabs>
      <w:ind w:hanging="720" w:start="720" w:end="0"/>
      <w:outlineLvl w:val="0"/>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2001-11-30T18:43:00Z</dcterms:created>
  <dc:creator>Diane</dc:creator>
  <dc:description/>
  <dc:language>en-CA</dc:language>
  <cp:lastModifiedBy>Diane</cp:lastModifiedBy>
  <dcterms:modified xsi:type="dcterms:W3CDTF">2001-11-30T18:43:00Z</dcterms:modified>
  <cp:revision>2</cp:revision>
  <dc:subject/>
  <dc:title>97 FERC   61, 245</dc:title>
</cp:coreProperties>
</file>