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sz w:val="28"/>
        </w:rPr>
      </w:pPr>
      <w:r>
        <w:rPr>
          <w:b/>
          <w:sz w:val="28"/>
        </w:rPr>
        <w:t>UNITED STATES OF AMERICA</w:t>
      </w:r>
    </w:p>
    <w:p>
      <w:pPr>
        <w:pStyle w:val="Normal"/>
        <w:numPr>
          <w:ilvl w:val="0"/>
          <w:numId w:val="0"/>
        </w:numPr>
        <w:jc w:val="center"/>
        <w:outlineLvl w:val="0"/>
        <w:rPr>
          <w:b/>
        </w:rPr>
      </w:pPr>
      <w:r>
        <w:rPr>
          <w:b/>
        </w:rPr>
        <w:t>BEFORE THE</w:t>
      </w:r>
    </w:p>
    <w:p>
      <w:pPr>
        <w:pStyle w:val="Normal"/>
        <w:numPr>
          <w:ilvl w:val="0"/>
          <w:numId w:val="0"/>
        </w:numPr>
        <w:jc w:val="center"/>
        <w:outlineLvl w:val="0"/>
        <w:rPr>
          <w:b/>
          <w:sz w:val="28"/>
        </w:rPr>
      </w:pPr>
      <w:r>
        <w:rPr>
          <w:b/>
          <w:sz w:val="28"/>
        </w:rPr>
        <w:t>FEDERAL ENERGY REGULATORY COMMISSION</w:t>
      </w:r>
    </w:p>
    <w:p>
      <w:pPr>
        <w:pStyle w:val="Normal"/>
        <w:rPr/>
      </w:pPr>
      <w:r>
        <w:rPr/>
      </w:r>
    </w:p>
    <w:p>
      <w:pPr>
        <w:pStyle w:val="Normal"/>
        <w:rPr/>
      </w:pPr>
      <w:r>
        <w:rPr/>
      </w:r>
    </w:p>
    <w:p>
      <w:pPr>
        <w:pStyle w:val="Normal"/>
        <w:rPr/>
      </w:pPr>
      <w:r>
        <w:rPr/>
      </w:r>
    </w:p>
    <w:p>
      <w:pPr>
        <w:pStyle w:val="Normal"/>
        <w:tabs>
          <w:tab w:val="clear" w:pos="720"/>
          <w:tab w:val="left" w:pos="3960" w:leader="none"/>
          <w:tab w:val="left" w:pos="4680" w:leader="none"/>
        </w:tabs>
        <w:rPr/>
      </w:pPr>
      <w:r>
        <w:rPr/>
        <w:t>In the Matter of</w:t>
        <w:tab/>
        <w:t>)</w:t>
      </w:r>
    </w:p>
    <w:p>
      <w:pPr>
        <w:pStyle w:val="Normal"/>
        <w:tabs>
          <w:tab w:val="clear" w:pos="720"/>
          <w:tab w:val="left" w:pos="3960" w:leader="none"/>
          <w:tab w:val="left" w:pos="4680" w:leader="none"/>
        </w:tabs>
        <w:rPr/>
      </w:pPr>
      <w:r>
        <w:rPr/>
        <w:tab/>
        <w:t>)</w:t>
        <w:tab/>
        <w:t>Docket No. RP96-347-018</w:t>
      </w:r>
    </w:p>
    <w:p>
      <w:pPr>
        <w:pStyle w:val="Normal"/>
        <w:tabs>
          <w:tab w:val="clear" w:pos="720"/>
          <w:tab w:val="left" w:pos="3960" w:leader="none"/>
          <w:tab w:val="left" w:pos="4680" w:leader="none"/>
        </w:tabs>
        <w:rPr/>
      </w:pPr>
      <w:r>
        <w:rPr/>
        <w:t>Northern Natural Gas Company</w:t>
        <w:tab/>
        <w:t>)</w:t>
      </w:r>
    </w:p>
    <w:p>
      <w:pPr>
        <w:pStyle w:val="Normal"/>
        <w:rPr/>
      </w:pPr>
      <w:r>
        <w:rPr/>
      </w:r>
    </w:p>
    <w:p>
      <w:pPr>
        <w:pStyle w:val="Normal"/>
        <w:rPr/>
      </w:pPr>
      <w:r>
        <w:rPr/>
      </w:r>
    </w:p>
    <w:p>
      <w:pPr>
        <w:pStyle w:val="Normal"/>
        <w:numPr>
          <w:ilvl w:val="0"/>
          <w:numId w:val="0"/>
        </w:numPr>
        <w:jc w:val="center"/>
        <w:outlineLvl w:val="0"/>
        <w:rPr>
          <w:b/>
        </w:rPr>
      </w:pPr>
      <w:r>
        <w:rPr>
          <w:b/>
        </w:rPr>
        <w:t>REQUEST FOR REHEARING</w:t>
      </w:r>
    </w:p>
    <w:p>
      <w:pPr>
        <w:pStyle w:val="Normal"/>
        <w:jc w:val="center"/>
        <w:rPr>
          <w:b/>
        </w:rPr>
      </w:pPr>
      <w:r>
        <w:rPr>
          <w:b/>
        </w:rPr>
        <w:t>OF</w:t>
      </w:r>
    </w:p>
    <w:p>
      <w:pPr>
        <w:pStyle w:val="Normal"/>
        <w:jc w:val="center"/>
        <w:rPr>
          <w:b/>
          <w:u w:val="single"/>
        </w:rPr>
      </w:pPr>
      <w:r>
        <w:rPr>
          <w:b/>
          <w:u w:val="single"/>
        </w:rPr>
        <w:t>NORTHERN NATURAL GAS COMPANY</w:t>
      </w:r>
    </w:p>
    <w:p>
      <w:pPr>
        <w:pStyle w:val="Normal"/>
        <w:rPr/>
      </w:pPr>
      <w:r>
        <w:rPr/>
      </w:r>
    </w:p>
    <w:p>
      <w:pPr>
        <w:pStyle w:val="Normal"/>
        <w:rPr/>
      </w:pPr>
      <w:r>
        <w:rPr/>
      </w:r>
    </w:p>
    <w:p>
      <w:pPr>
        <w:pStyle w:val="Normal"/>
        <w:spacing w:lineRule="auto" w:line="480"/>
        <w:rPr/>
      </w:pPr>
      <w:r>
        <w:rPr/>
        <w:tab/>
        <w:t>Pursuant to Section 19 of the Natural Gas Act and Rule 713 of the Commission’s Rules of Practice and Procedure, Northern Natural Gas Company (Northern) respectfully submits its Request for Rehearing of the Commission’s Order Rejecting Contested Settlement issued on November 9, 2000 in the above-captioned proceeding (November 9 Order). </w:t>
      </w:r>
      <w:r>
        <w:rPr>
          <w:rStyle w:val="FootnoteCharacters"/>
          <w:rStyle w:val="FootnoteReference"/>
        </w:rPr>
        <w:footnoteReference w:id="2"/>
      </w:r>
      <w:r>
        <w:rPr/>
        <w:t>/  The November 9 Order erred by rejecting the Settlement, as revised on September 25, 2000, based on the claim that it was not supported by “any substantial evidence” showing that it provided just and reasonable rates.  As shown below, Northern in fact submitted substantial evidence in the form of actual market data from the executed contracts of the Carlton Sourcers themselves for the specific gas supply and time period at issue, thereby demonstrating that the Settlement as revised results in just and reasonable rates.</w:t>
      </w:r>
    </w:p>
    <w:p>
      <w:pPr>
        <w:pStyle w:val="Normal"/>
        <w:numPr>
          <w:ilvl w:val="0"/>
          <w:numId w:val="0"/>
        </w:numPr>
        <w:spacing w:lineRule="auto" w:line="480"/>
        <w:jc w:val="center"/>
        <w:outlineLvl w:val="0"/>
        <w:rPr>
          <w:b/>
        </w:rPr>
      </w:pPr>
      <w:r>
        <w:rPr>
          <w:b/>
        </w:rPr>
        <w:t>I</w:t>
      </w:r>
    </w:p>
    <w:p>
      <w:pPr>
        <w:pStyle w:val="Normal"/>
        <w:spacing w:lineRule="auto" w:line="480"/>
        <w:jc w:val="center"/>
        <w:rPr>
          <w:b/>
          <w:u w:val="single"/>
        </w:rPr>
      </w:pPr>
      <w:r>
        <w:rPr>
          <w:b/>
          <w:u w:val="single"/>
        </w:rPr>
        <w:t>SPECIFICATION OF ERRORS</w:t>
      </w:r>
    </w:p>
    <w:p>
      <w:pPr>
        <w:pStyle w:val="Normal"/>
        <w:spacing w:lineRule="auto" w:line="480"/>
        <w:rPr/>
      </w:pPr>
      <w:r>
        <w:rPr/>
        <w:tab/>
        <w:t xml:space="preserve">The Commission’s rejection of the Settlement as revised is arbitrary, capricious and does not reflect reasoned decisionmaking because it ignores substantial evidence in the record showing that the Settlement as revised provides just and reasonable rates.  The November 9 Order erroneously focused </w:t>
      </w:r>
      <w:r>
        <w:rPr>
          <w:u w:val="single"/>
        </w:rPr>
        <w:t>solely</w:t>
      </w:r>
      <w:r>
        <w:rPr/>
        <w:t xml:space="preserve"> on evidence related to the Settlement as originally filed on June 2, 2000, and </w:t>
      </w:r>
      <w:r>
        <w:rPr>
          <w:u w:val="single"/>
        </w:rPr>
        <w:t>totally ignored</w:t>
      </w:r>
      <w:r>
        <w:rPr/>
        <w:t xml:space="preserve"> the substantial evidence supporting the Settlement as revised on September 25, 2000.  As a result, the November 9 Order erred by totally ignoring actual, specific market data from the executed contracts of the Carlton Sourcers themselves for the specific gas supply and period at issue, which demonstrate that the Settlement as revised provides just and reasonable rates.  Totally ignoring substantial evidence in the record is arbitrary, capricious and not reasoned decisionmaking.  </w:t>
      </w:r>
      <w:r>
        <w:br w:type="page"/>
      </w:r>
    </w:p>
    <w:p>
      <w:pPr>
        <w:pStyle w:val="Normal"/>
        <w:numPr>
          <w:ilvl w:val="0"/>
          <w:numId w:val="0"/>
        </w:numPr>
        <w:spacing w:lineRule="auto" w:line="480"/>
        <w:jc w:val="center"/>
        <w:outlineLvl w:val="0"/>
        <w:rPr>
          <w:b/>
        </w:rPr>
      </w:pPr>
      <w:r>
        <w:rPr>
          <w:b/>
        </w:rPr>
        <w:t>II</w:t>
      </w:r>
    </w:p>
    <w:p>
      <w:pPr>
        <w:pStyle w:val="Normal"/>
        <w:numPr>
          <w:ilvl w:val="0"/>
          <w:numId w:val="0"/>
        </w:numPr>
        <w:jc w:val="center"/>
        <w:outlineLvl w:val="0"/>
        <w:rPr>
          <w:b/>
        </w:rPr>
      </w:pPr>
      <w:r>
        <w:rPr>
          <w:b/>
        </w:rPr>
        <w:t xml:space="preserve">THE NOVEMBER 9 ORDER IGNORED </w:t>
      </w:r>
    </w:p>
    <w:p>
      <w:pPr>
        <w:pStyle w:val="Normal"/>
        <w:jc w:val="center"/>
        <w:rPr>
          <w:b/>
        </w:rPr>
      </w:pPr>
      <w:r>
        <w:rPr>
          <w:b/>
        </w:rPr>
        <w:t xml:space="preserve">SUBSTANTIAL EVIDENCE SUBMITTED BY NORTHERN </w:t>
      </w:r>
    </w:p>
    <w:p>
      <w:pPr>
        <w:pStyle w:val="Normal"/>
        <w:jc w:val="center"/>
        <w:rPr>
          <w:b/>
        </w:rPr>
      </w:pPr>
      <w:r>
        <w:rPr>
          <w:b/>
        </w:rPr>
        <w:t xml:space="preserve">DEMONSTRATING THAT THE SETTLEMENT AS REVISED </w:t>
      </w:r>
    </w:p>
    <w:p>
      <w:pPr>
        <w:pStyle w:val="Normal"/>
        <w:jc w:val="center"/>
        <w:rPr>
          <w:b/>
          <w:u w:val="single"/>
        </w:rPr>
      </w:pPr>
      <w:r>
        <w:rPr>
          <w:b/>
          <w:u w:val="single"/>
        </w:rPr>
        <w:t>         </w:t>
      </w:r>
      <w:r>
        <w:rPr>
          <w:b/>
          <w:u w:val="single"/>
        </w:rPr>
        <w:t>PROVIDES JUST AND REASONABLE RATES          </w:t>
      </w:r>
    </w:p>
    <w:p>
      <w:pPr>
        <w:pStyle w:val="Normal"/>
        <w:rPr/>
      </w:pPr>
      <w:r>
        <w:rPr/>
      </w:r>
    </w:p>
    <w:p>
      <w:pPr>
        <w:pStyle w:val="Normal"/>
        <w:spacing w:lineRule="auto" w:line="480"/>
        <w:rPr/>
      </w:pPr>
      <w:r>
        <w:rPr>
          <w:b/>
        </w:rPr>
        <w:t>A.</w:t>
        <w:tab/>
      </w:r>
      <w:r>
        <w:rPr>
          <w:b/>
          <w:u w:val="single"/>
        </w:rPr>
        <w:t>Northern in fact provided specific market data.</w:t>
      </w:r>
    </w:p>
    <w:p>
      <w:pPr>
        <w:pStyle w:val="Normal"/>
        <w:spacing w:lineRule="auto" w:line="480"/>
        <w:rPr/>
      </w:pPr>
      <w:r>
        <w:rPr/>
        <w:tab/>
        <w:t>The November 9 Order claims (at 8) that “Northern has not provided specific market data showing” two elements:</w:t>
      </w:r>
    </w:p>
    <w:p>
      <w:pPr>
        <w:pStyle w:val="Normal"/>
        <w:ind w:hanging="720" w:start="2160" w:end="1440"/>
        <w:rPr/>
      </w:pPr>
      <w:r>
        <w:rPr/>
        <w:t>(1)</w:t>
        <w:tab/>
        <w:t>“how compensation to Carlton Sourcers under its proposed methodology is just and reasonable;” and</w:t>
      </w:r>
    </w:p>
    <w:p>
      <w:pPr>
        <w:pStyle w:val="Normal"/>
        <w:ind w:hanging="720" w:start="2160" w:end="1440"/>
        <w:rPr/>
      </w:pPr>
      <w:r>
        <w:rPr/>
      </w:r>
    </w:p>
    <w:p>
      <w:pPr>
        <w:pStyle w:val="Normal"/>
        <w:ind w:hanging="720" w:start="2160" w:end="1440"/>
        <w:rPr/>
      </w:pPr>
      <w:r>
        <w:rPr/>
        <w:t>(2)</w:t>
        <w:tab/>
        <w:t>“how its derived Carlton Premium under the new methodology accurately reflects market conditions.”</w:t>
      </w:r>
    </w:p>
    <w:p>
      <w:pPr>
        <w:pStyle w:val="Normal"/>
        <w:ind w:hanging="720" w:start="720" w:end="86"/>
        <w:rPr/>
      </w:pPr>
      <w:r>
        <w:rPr/>
      </w:r>
    </w:p>
    <w:p>
      <w:pPr>
        <w:pStyle w:val="Normal"/>
        <w:spacing w:lineRule="auto" w:line="480"/>
        <w:rPr/>
      </w:pPr>
      <w:r>
        <w:rPr/>
        <w:t xml:space="preserve">In fact, Northern did submit “specific market data showing” both of these elements in a four-page sworn affidavit containing </w:t>
      </w:r>
      <w:r>
        <w:rPr>
          <w:u w:val="single"/>
        </w:rPr>
        <w:t>actual</w:t>
      </w:r>
      <w:r>
        <w:rPr/>
        <w:t xml:space="preserve">, </w:t>
      </w:r>
      <w:r>
        <w:rPr>
          <w:u w:val="single"/>
        </w:rPr>
        <w:t>specific</w:t>
      </w:r>
      <w:r>
        <w:rPr/>
        <w:t xml:space="preserve"> market data. </w:t>
      </w:r>
      <w:r>
        <w:rPr>
          <w:rStyle w:val="FootnoteCharacters"/>
          <w:rStyle w:val="FootnoteReference"/>
        </w:rPr>
        <w:footnoteReference w:id="3"/>
      </w:r>
      <w:r>
        <w:rPr/>
        <w:t>/  However, the November 9 Order totally ignored this actual, specific market data.  In fact, the November 9 Order failed to even mention the existence of this actual, specific market data.  Totally ignoring such substantial evidence is arbitrary, capricious and not reasoned decisionmaking.</w:t>
      </w:r>
    </w:p>
    <w:p>
      <w:pPr>
        <w:pStyle w:val="Normal"/>
        <w:spacing w:lineRule="auto" w:line="480"/>
        <w:rPr/>
      </w:pPr>
      <w:r>
        <w:rPr/>
        <w:tab/>
        <w:t xml:space="preserve">The actual, specific market data ignored by the November 9 Order was obtained directly from Carlton Sourcers’ </w:t>
      </w:r>
      <w:r>
        <w:rPr>
          <w:u w:val="single"/>
        </w:rPr>
        <w:t>actual contracts</w:t>
      </w:r>
      <w:r>
        <w:rPr/>
        <w:t xml:space="preserve"> in the natural gas marketplace </w:t>
      </w:r>
      <w:r>
        <w:rPr>
          <w:u w:val="single"/>
        </w:rPr>
        <w:t>specifically for Carlton supply the 2000-2001 winter heating season at issue</w:t>
      </w:r>
      <w:r>
        <w:rPr/>
        <w:t xml:space="preserve">.  Incredibly, the November 9 Order totally ignored such actual, specific, directly-on-point market data for the precise period at issue and focused solely on market data from a prior year, the 1999-2000 winter heating season, which it claimed (at 8) was “anecdotally based” and obtained from “informal discussions.”  The alleged insufficiency of market data from a prior period which is not at issue is totally irrelevant to the fact that there was actual, specific market data for the precise period at issue.  Thus, the November 9 Order reached the irrelevant conclusion that “Northern has not provided any market data from </w:t>
      </w:r>
      <w:r>
        <w:rPr>
          <w:u w:val="single"/>
        </w:rPr>
        <w:t xml:space="preserve">last year’s </w:t>
      </w:r>
      <w:r>
        <w:rPr/>
        <w:t xml:space="preserve">winter season to support its proposal” (November 9 Order at 8, emphasis added) while erroneously ignoring the actual, specific market data for the precise period at issue that fully supports the Settlement as revised.  </w:t>
      </w:r>
    </w:p>
    <w:p>
      <w:pPr>
        <w:pStyle w:val="Normal"/>
        <w:spacing w:lineRule="auto" w:line="480"/>
        <w:rPr/>
      </w:pPr>
      <w:r>
        <w:rPr/>
        <w:tab/>
        <w:t xml:space="preserve">In fact, it appears from the language of the November 9 Order that the Commission was erroneously considering the Settlement as filed June 2, 2000, instead of the revised Settlement as revised September 25, 2000.  Thus, the November 9 Order states that “Northern even admits that its </w:t>
      </w:r>
      <w:r>
        <w:rPr>
          <w:u w:val="single"/>
        </w:rPr>
        <w:t>proposed</w:t>
      </w:r>
      <w:r>
        <w:rPr/>
        <w:t xml:space="preserve"> methodology is flawed. . . . Therefore, Northern has revised its proposal. . . .” (November 9 Order, mimeo at 9, emphasis added.)  In fact, at the time of the November 9 Order, Northern’s “</w:t>
      </w:r>
      <w:r>
        <w:rPr>
          <w:u w:val="single"/>
        </w:rPr>
        <w:t>proposed</w:t>
      </w:r>
      <w:r>
        <w:rPr/>
        <w:t xml:space="preserve"> methodology” was </w:t>
      </w:r>
      <w:r>
        <w:rPr>
          <w:u w:val="single"/>
        </w:rPr>
        <w:t>not</w:t>
      </w:r>
      <w:r>
        <w:rPr/>
        <w:t xml:space="preserve"> the methodology in the Settlement as filed on June 2, 2000, but the revised methodology in the Settlement as revised on September 25, 2000.  Thus, the November 9 Order erroneously considers the June 2, 2000 methodology and rejects it based on finding that there was a lack of data from a past period, which is irrelevant, while erroneously ignoring the actual, specific market data for the precise 2000-2001 period at issue that is in fact used in the Settlement as revised on September 25, 2000.</w:t>
      </w:r>
    </w:p>
    <w:p>
      <w:pPr>
        <w:pStyle w:val="Normal"/>
        <w:ind w:hanging="720" w:start="720" w:end="1440"/>
        <w:rPr/>
      </w:pPr>
      <w:r>
        <w:rPr>
          <w:b/>
        </w:rPr>
        <w:t>B.</w:t>
        <w:tab/>
        <w:t xml:space="preserve">The specific market data demonstrates that the Carlton Premium under the revised Settlement accurately </w:t>
      </w:r>
      <w:r>
        <w:rPr>
          <w:b/>
          <w:u w:val="single"/>
        </w:rPr>
        <w:t>reflects market conditions.</w:t>
        <w:tab/>
        <w:tab/>
        <w:tab/>
      </w:r>
    </w:p>
    <w:p>
      <w:pPr>
        <w:pStyle w:val="Normal"/>
        <w:ind w:hanging="720" w:start="720" w:end="1440"/>
        <w:rPr>
          <w:b/>
          <w:u w:val="single"/>
        </w:rPr>
      </w:pPr>
      <w:r>
        <w:rPr>
          <w:b/>
          <w:u w:val="single"/>
        </w:rPr>
      </w:r>
    </w:p>
    <w:p>
      <w:pPr>
        <w:pStyle w:val="Normal"/>
        <w:spacing w:lineRule="auto" w:line="480"/>
        <w:rPr/>
      </w:pPr>
      <w:r>
        <w:rPr/>
        <w:tab/>
        <w:t xml:space="preserve">The actual, specific market data provided in the four-page sworn affidavit does in fact demonstrate, as required by the Commission (at 8), that the “derived Carlton premium under the new methodology accurately reflects market conditions.”  The affidavit of Dr. Foster states that he obtained </w:t>
      </w:r>
      <w:r>
        <w:rPr>
          <w:u w:val="single"/>
        </w:rPr>
        <w:t>actual market data</w:t>
      </w:r>
      <w:r>
        <w:rPr/>
        <w:t xml:space="preserve"> on the specific matter at issue </w:t>
        <w:noBreakHyphen/>
        <w:noBreakHyphen/>
        <w:t xml:space="preserve"> the Carlton Premium for the 2000-2001 heating season </w:t>
        <w:noBreakHyphen/>
        <w:noBreakHyphen/>
        <w:t xml:space="preserve"> </w:t>
      </w:r>
      <w:r>
        <w:rPr>
          <w:u w:val="single"/>
        </w:rPr>
        <w:t>from the Carlton Sourcers themselves</w:t>
      </w:r>
      <w:r>
        <w:rPr/>
        <w:t>. </w:t>
      </w:r>
      <w:r>
        <w:rPr>
          <w:rStyle w:val="FootnoteCharacters"/>
          <w:rStyle w:val="FootnoteReference"/>
        </w:rPr>
        <w:footnoteReference w:id="4"/>
      </w:r>
      <w:r>
        <w:rPr/>
        <w:t xml:space="preserve">/ The actual, specific market data obtained was neither “anecdotal” nor otherwise unreliable but, in fact, the </w:t>
      </w:r>
      <w:r>
        <w:rPr>
          <w:u w:val="single"/>
        </w:rPr>
        <w:t>actual Carlton Premium</w:t>
      </w:r>
      <w:r>
        <w:rPr/>
        <w:t xml:space="preserve"> contained in the Carlton Sourcers’ </w:t>
      </w:r>
      <w:r>
        <w:rPr>
          <w:u w:val="single"/>
        </w:rPr>
        <w:t>executed</w:t>
      </w:r>
      <w:r>
        <w:rPr/>
        <w:t xml:space="preserve"> contracts </w:t>
        <w:noBreakHyphen/>
        <w:noBreakHyphen/>
        <w:t xml:space="preserve"> the “pricing provisions for baseload supply contracts executed by Sourcers to satisfy their Carlton Resolution flow” requirements. </w:t>
      </w:r>
      <w:r>
        <w:rPr>
          <w:rStyle w:val="FootnoteCharacters"/>
          <w:rStyle w:val="FootnoteReference"/>
        </w:rPr>
        <w:footnoteReference w:id="5"/>
      </w:r>
      <w:r>
        <w:rPr/>
        <w:t xml:space="preserve">/ </w:t>
      </w:r>
    </w:p>
    <w:p>
      <w:pPr>
        <w:pStyle w:val="Normal"/>
        <w:spacing w:lineRule="auto" w:line="480"/>
        <w:rPr/>
      </w:pPr>
      <w:r>
        <w:rPr/>
        <w:tab/>
        <w:t>Dr. Foster used this actual market data, the actual Carlton Premium contained in the Carlton Sourcers’ executed contracts for the 2000-2001 heating season, to calculate a weighed average Carlton Premium of $0.1942 per Dth. </w:t>
      </w:r>
      <w:r>
        <w:rPr>
          <w:rStyle w:val="FootnoteCharacters"/>
          <w:rStyle w:val="FootnoteReference"/>
        </w:rPr>
        <w:footnoteReference w:id="6"/>
      </w:r>
      <w:r>
        <w:rPr/>
        <w:t xml:space="preserve">/  The November 9 Order erred when it totally ignored this actual market data from the Carlton Sourcers themselves showing a Carlton Premium of $0.1942 for the specific period at issue, the 2000-2001 heating season, and wrongly focused on the $0.21 per Dth Carlton Premium for the prior year, which it derided as “anecdotally based.”  Northern respectfully submits that the revised Settlement’s use of actual market prices in actual executed contracts for the specific gas supply and time period at issue “accurately reflects market conditions.”  Given the revised Settlement’s use of actual market data, </w:t>
      </w:r>
      <w:r>
        <w:rPr>
          <w:u w:val="single"/>
        </w:rPr>
        <w:t>i.e.</w:t>
      </w:r>
      <w:r>
        <w:rPr/>
        <w:t>, the actual pricing provisions in the executed contracts of the Carlton Sourcers themselves for their Carlton Resolution flow requirements for the 2000-20001 heating season, it is difficult to imagine what could better meet the Commission’s requirement (at 8) to “accurately reflect market conditions.”  It is arbitrary, capricious and not reasoned decisionmaking to ignore specific market data that is directly on point for the matter at issue and then reject the Settlement on the erroneous claim that “Northern has not provided specific market data. . . .”</w:t>
      </w:r>
    </w:p>
    <w:p>
      <w:pPr>
        <w:pStyle w:val="Normal"/>
        <w:ind w:hanging="720" w:start="720" w:end="1440"/>
        <w:rPr>
          <w:b/>
        </w:rPr>
      </w:pPr>
      <w:r>
        <w:rPr>
          <w:b/>
        </w:rPr>
        <w:t>C.</w:t>
        <w:tab/>
        <w:t xml:space="preserve">The November 9 Order totally ignored the fact that the use of actual, specific market data is far, far more accurate in reflecting market conditions than the </w:t>
      </w:r>
      <w:r>
        <w:rPr>
          <w:b/>
          <w:u w:val="single"/>
        </w:rPr>
        <w:t>$0.60 Carlton Premium adopted in 1996.</w:t>
        <w:tab/>
        <w:tab/>
      </w:r>
    </w:p>
    <w:p>
      <w:pPr>
        <w:pStyle w:val="Normal"/>
        <w:ind w:hanging="720" w:start="720" w:end="1440"/>
        <w:rPr>
          <w:b/>
        </w:rPr>
      </w:pPr>
      <w:r>
        <w:rPr>
          <w:b/>
        </w:rPr>
      </w:r>
    </w:p>
    <w:p>
      <w:pPr>
        <w:pStyle w:val="Normal"/>
        <w:spacing w:lineRule="auto" w:line="480"/>
        <w:rPr/>
      </w:pPr>
      <w:r>
        <w:rPr/>
        <w:tab/>
        <w:t xml:space="preserve">Given the revised Settlement’s use of actual market data, </w:t>
      </w:r>
      <w:r>
        <w:rPr>
          <w:u w:val="single"/>
        </w:rPr>
        <w:t>i.e.</w:t>
      </w:r>
      <w:r>
        <w:rPr/>
        <w:t xml:space="preserve">, the actual pricing provisions in the executed contracts of the Carlton Sourcers themselves for their Carlton Resolution flow requirements for the 2000-20001 heating season, it is difficult to imagine what could better meet the Commission’s requirement (at 8) to “accurately reflect market conditions.”  In fact, it is far, far more accurate in reflecting actual market conditions for the 2000-2001 heating season than the $0.60 per Dth Carlton Premium currently being utilized, which was adopted in 1996.  It is undisputed on the record in this proceeding, including the pleadings filed by opponents to the Settlement, that the $0.60 Carlton Premium adopted in 1996 is far removed from reflecting actual market conditions for the 2000-2001 heating season.  However, this undisputed fact is </w:t>
      </w:r>
      <w:r>
        <w:rPr>
          <w:u w:val="single"/>
        </w:rPr>
        <w:t>never even mentioned</w:t>
      </w:r>
      <w:r>
        <w:rPr/>
        <w:t xml:space="preserve"> in the November 9 Order.  The November 9 Order leaves in place what is undisputedly an unjust and unreasonable $0.60 Carlton Premium adopted in 1996, while totally ignoring the fact that the revised Settlement uses actual pricing provisions in actual executed contracts for the specific gas supply and time period at issue.  This utter failure to even discuss undisputed facts or even acknowledge record evidence that is directly on point is arbitrary, capricious and not reasoned decisionmaking.</w:t>
      </w:r>
    </w:p>
    <w:p>
      <w:pPr>
        <w:pStyle w:val="Normal"/>
        <w:spacing w:lineRule="auto" w:line="480"/>
        <w:rPr/>
      </w:pPr>
      <w:r>
        <w:rPr/>
        <w:tab/>
        <w:t>The critical fact underlying the revised Settlement is that the 1996 Carlton premium of $0.60 is not reasonable because it is far removed from actual market conditions today.  The undisputed evidence is that the Carlton premium has been substantially below $0.60 since the winter of 1997-98, in the range of $0.20 to $0.30.  (</w:t>
      </w:r>
      <w:r>
        <w:rPr>
          <w:i/>
        </w:rPr>
        <w:t>See</w:t>
      </w:r>
      <w:r>
        <w:rPr/>
        <w:t xml:space="preserve"> Exhibit Nos. 1 and 2 attached to Northern’s Reply Comments.)  While arguing that there were genuine issues of material fact which barred approval of the Settlement, MidAmerican Energy Company (MidAmerican) failed to offer any evidence whatsoever that contradicted this fundamental fact.  Significantly, while MidAmerican went to the effort of offering an affidavit from an individual claiming “knowledge of the natural gas marketplace” (MidAmerican Initial Comments, Affidavit at 2), the affidavit failed to offer any evidence that the $0.60 premium reflects actual market conditions.  Further, MidAmerican offered no affidavit and no response whatsoever to the statement in Northern’s reply comments (at 13) that “[t]he reason for this failure [to submit an affidavit on this point] is that MidAmerican’s own actual experience in the marketplace confirms the evidence submitted by Northern that the $0.60 premium is far above actual market conditions.”  As a result, MidAmerican failed to comply with Rule 602(f)(4), which requires that any party alleging “a genuine issue of material fact </w:t>
      </w:r>
      <w:r>
        <w:rPr>
          <w:u w:val="single"/>
        </w:rPr>
        <w:t>must</w:t>
      </w:r>
      <w:r>
        <w:rPr/>
        <w:t xml:space="preserve"> include an affidavit detailing any genuine issue of material fact by specific reference to documents, testimony, or other items. . . .”  18 C.F.R. §385.602(f)(4) (emphasis added).  Thus, MidAmerican’s unsupported arguments did not raise a genuine issue of material fact and, therefore, there was no basis to reject the revised Settlement.</w:t>
      </w:r>
    </w:p>
    <w:p>
      <w:pPr>
        <w:pStyle w:val="Normal"/>
        <w:ind w:hanging="720" w:start="720" w:end="1440"/>
        <w:rPr/>
      </w:pPr>
      <w:r>
        <w:rPr>
          <w:b/>
        </w:rPr>
        <w:t>D.</w:t>
        <w:tab/>
        <w:t xml:space="preserve">The actual, specific market data used under the revised Settlement was verified and the process was </w:t>
      </w:r>
      <w:r>
        <w:rPr>
          <w:b/>
          <w:u w:val="single"/>
        </w:rPr>
        <w:t>explained.</w:t>
        <w:tab/>
        <w:tab/>
        <w:tab/>
        <w:tab/>
        <w:tab/>
        <w:tab/>
        <w:tab/>
      </w:r>
    </w:p>
    <w:p>
      <w:pPr>
        <w:pStyle w:val="Normal"/>
        <w:ind w:hanging="720" w:start="720" w:end="1440"/>
        <w:rPr>
          <w:b/>
          <w:u w:val="single"/>
        </w:rPr>
      </w:pPr>
      <w:r>
        <w:rPr>
          <w:b/>
          <w:u w:val="single"/>
        </w:rPr>
      </w:r>
    </w:p>
    <w:p>
      <w:pPr>
        <w:pStyle w:val="Normal"/>
        <w:spacing w:lineRule="auto" w:line="480"/>
        <w:rPr/>
      </w:pPr>
      <w:r>
        <w:rPr/>
        <w:tab/>
        <w:t xml:space="preserve">The November 9 Order states (at 9) that “[t]he Commission is concerned that the results of the third party survey cannot be verified and that the parties to the proceeding will not be able to determine how the process works.”  In fact, however, the use of actual, specific market data in the third party survey was specifically verified by a sworn affidavit from the party who conducted the survey.  Further, such sworn affidavit specifically explained “how the process works.”  If the Commission believes it needs additional verification or explanation, it should require the additional explanation, not reject the entire Settlement.  </w:t>
      </w:r>
    </w:p>
    <w:p>
      <w:pPr>
        <w:pStyle w:val="Normal"/>
        <w:spacing w:lineRule="auto" w:line="480"/>
        <w:rPr/>
      </w:pPr>
      <w:r>
        <w:rPr/>
        <w:tab/>
        <w:t>For example, if the Commission believes it is insufficient verification for Dr. Foster to state in a sworn affidavit that he obtained the “pricing provisions for baseload supply contracts executed by Sourcers to satisfy their Carlton Resolution flow requirements” for the 2000-2001 heating season, </w:t>
      </w:r>
      <w:r>
        <w:rPr>
          <w:rStyle w:val="FootnoteCharacters"/>
          <w:rStyle w:val="FootnoteReference"/>
        </w:rPr>
        <w:footnoteReference w:id="7"/>
      </w:r>
      <w:r>
        <w:rPr/>
        <w:t>/ the Commission could require sworn affidavits from the Sourcers stating that they provided this information to Dr. Foster.  While Northern believes that repetitive verifications are unnecessary and redundant, they nevertheless could be submitted.  Similarly, if the Commission believes that the detailed explanation of “how the process works” contained in Dr. Foster’s sworn affidavit is insufficient, the Commission could require additional explanation.  However, it is arbitrary, capricious and not reasoned decisionmaking to reject a settlement based on a claimed lack of verification and explanation while ignoring a sworn affidavit that specifically provides detailed verification and explanation.</w:t>
      </w:r>
    </w:p>
    <w:p>
      <w:pPr>
        <w:pStyle w:val="Normal"/>
        <w:ind w:hanging="720" w:start="720" w:end="1440"/>
        <w:rPr>
          <w:b/>
        </w:rPr>
      </w:pPr>
      <w:r>
        <w:rPr>
          <w:b/>
        </w:rPr>
        <w:t>E.</w:t>
        <w:tab/>
        <w:t xml:space="preserve">The November 9 Order erred in finding that there was no specific market data showing how compensation to </w:t>
      </w:r>
      <w:r>
        <w:rPr>
          <w:b/>
          <w:u w:val="single"/>
        </w:rPr>
        <w:t>Carlton sourcers was just and reasonable.</w:t>
        <w:tab/>
        <w:tab/>
      </w:r>
    </w:p>
    <w:p>
      <w:pPr>
        <w:pStyle w:val="Normal"/>
        <w:rPr>
          <w:b/>
        </w:rPr>
      </w:pPr>
      <w:r>
        <w:rPr>
          <w:b/>
        </w:rPr>
      </w:r>
    </w:p>
    <w:p>
      <w:pPr>
        <w:pStyle w:val="Normal"/>
        <w:spacing w:lineRule="auto" w:line="480"/>
        <w:rPr/>
      </w:pPr>
      <w:r>
        <w:rPr/>
        <w:tab/>
        <w:t xml:space="preserve">As discussed above, the November 9 Order erred in stating that Northern had not provided any specific market data.  The actual, specific market data that Northern in fact provided not only shows that the derived Carlton Premium “accurately reflects market conditions,” as explained above, but also demonstrates the second element of the Commission standard </w:t>
        <w:noBreakHyphen/>
        <w:noBreakHyphen/>
        <w:t xml:space="preserve"> “how compensation to Carlton sourcers under its proposed methodology is just and reasonable” (November 9 Order, mimeo at 8.)  There is no dispute over the numbers to use to calculate the compensation provided to Carlton Sourcers.  The Commission’s error in concluding that the compensation to Carlton Sourcers is unreasonable arises from the November 9 Order’s factually incorrect and illogical analysis.</w:t>
      </w:r>
    </w:p>
    <w:p>
      <w:pPr>
        <w:pStyle w:val="Normal"/>
        <w:spacing w:lineRule="auto" w:line="480"/>
        <w:rPr/>
      </w:pPr>
      <w:r>
        <w:rPr/>
        <w:tab/>
        <w:t xml:space="preserve">The November 9 Order correctly recognizes that, under the Revised Settlement, the total cost premium for sourcing gas at Carlton is $7.33 million and the total compensation to Carlton Sourcers is $1.03 million, which is 14 percent of the total cost premium.  (November 9 Order, mimeo at 9, n. 15.)  However, the November 9 Order wrongly suggests that 14 percent compensation is unjust and unreasonable.  First, the November 9 Order (at 9) makes the factually incorrect and wholly unfounded suggestion that the original 1996 Carlton Settlement somehow provided that Carlton Sourcers were “to be fully reimbursed for their cost of sourcing gas at Carlton. . . .”  In fact, however, the 1996 Settlement did </w:t>
      </w:r>
      <w:r>
        <w:rPr>
          <w:u w:val="single"/>
        </w:rPr>
        <w:t>not</w:t>
      </w:r>
      <w:r>
        <w:rPr/>
        <w:t xml:space="preserve"> provide for 100 percent compensation and did </w:t>
      </w:r>
      <w:r>
        <w:rPr>
          <w:u w:val="single"/>
        </w:rPr>
        <w:t>not</w:t>
      </w:r>
      <w:r>
        <w:rPr/>
        <w:t xml:space="preserve"> intend for such result.  This fact is demonstrated by simply examining the compensation provided by the 1996 Settlement.  </w:t>
      </w:r>
    </w:p>
    <w:p>
      <w:pPr>
        <w:pStyle w:val="Normal"/>
        <w:spacing w:lineRule="auto" w:line="480"/>
        <w:ind w:firstLine="720" w:end="0"/>
        <w:rPr/>
      </w:pPr>
      <w:r>
        <w:rPr/>
        <w:t xml:space="preserve">In the first year under the 1996 Settlement (December 1, 1996 </w:t>
        <w:noBreakHyphen/>
        <w:noBreakHyphen/>
        <w:t xml:space="preserve"> March 31, 1997), </w:t>
      </w:r>
      <w:r>
        <w:rPr>
          <w:rStyle w:val="FootnoteCharacters"/>
          <w:rStyle w:val="FootnoteReference"/>
        </w:rPr>
        <w:footnoteReference w:id="8"/>
      </w:r>
      <w:r>
        <w:rPr/>
        <w:t xml:space="preserve">/ the total cost premium of sourcing gas based on the $0.60 premium in such settlement was $18,150,000 ($0.60 premium x 250,000 x 121 days).  The compensation to the Sourcers was $3,176,353 or 17.5% of the total cost premium ($3,176,353/$18,150,000).  In the second year under the 1996 Settlement, which covered the entire heating season (November 1, 1997 </w:t>
        <w:noBreakHyphen/>
        <w:noBreakHyphen/>
        <w:t xml:space="preserve"> March 31, 1998), the total cost premium of sourcing gas based on the $0.60 premium in such settlement was $22,650,000 ($0.60 premium x 250,000 x 151 days.)  The compensation to the Sourcers was $2,596,746 or 11.5% of the total cost premium ($2,596,746/$22,650,000).  Thus, given the 17.5 percent compensation in the partial first year and the 11.5 percent compensation in the first full year, it is clear that the 1996 Settlement </w:t>
      </w:r>
      <w:r>
        <w:rPr>
          <w:u w:val="single"/>
        </w:rPr>
        <w:t>never</w:t>
      </w:r>
      <w:r>
        <w:rPr/>
        <w:t xml:space="preserve"> was intended to provide for 100 percent compensation to the Carlton Sourcers.  Thus, it is factually incorrect and wholly unfounded for the November 9 Order to claim that less than 100 percent compensation is “Northern’s contention” which may or may not be “true.”  (November 9 Order, mimeo at 8-9.)  Less than 100 percent compensation is precisely what the 1996 Settlement provided.  </w:t>
      </w:r>
    </w:p>
    <w:p>
      <w:pPr>
        <w:pStyle w:val="Normal"/>
        <w:spacing w:lineRule="auto" w:line="480"/>
        <w:rPr/>
      </w:pPr>
      <w:r>
        <w:rPr/>
        <w:tab/>
        <w:t xml:space="preserve">The November 9 Order’s misplaced reliance on the false idea of 100 percent compensation leads it to erroneously conclude that the compensation provided by the revised Settlement is somehow too low </w:t>
        <w:noBreakHyphen/>
        <w:noBreakHyphen/>
        <w:t xml:space="preserve"> “only” 14 percent. </w:t>
      </w:r>
      <w:r>
        <w:rPr>
          <w:rStyle w:val="FootnoteCharacters"/>
          <w:rStyle w:val="FootnoteReference"/>
        </w:rPr>
        <w:footnoteReference w:id="9"/>
      </w:r>
      <w:r>
        <w:rPr/>
        <w:t xml:space="preserve">/  As shown by the data above, the 14 percent compensation under the revised Settlement </w:t>
      </w:r>
      <w:r>
        <w:rPr>
          <w:u w:val="single"/>
        </w:rPr>
        <w:t>falls squarely between</w:t>
      </w:r>
      <w:r>
        <w:rPr/>
        <w:t xml:space="preserve"> the 17.5 percent compensation in the first year of the 1996 Settlement (partial heating season of four months) and the 11.5 percent compensation in the second year of the 1996 Settlement (full heating season of five months).  Thus, given that the compensation under the 1996 Settlement was found to be just and reasonable, the compensation under the revised Settlement also is just and reasonable.  </w:t>
      </w:r>
    </w:p>
    <w:p>
      <w:pPr>
        <w:pStyle w:val="Normal"/>
        <w:ind w:hanging="720" w:start="720" w:end="1440"/>
        <w:rPr/>
      </w:pPr>
      <w:r>
        <w:rPr>
          <w:b/>
        </w:rPr>
        <w:t>F.</w:t>
        <w:tab/>
        <w:t xml:space="preserve">The November 9 Order erred in describing customer </w:t>
      </w:r>
      <w:r>
        <w:rPr>
          <w:b/>
          <w:u w:val="single"/>
        </w:rPr>
        <w:t>support for the revised Settlement.</w:t>
        <w:tab/>
        <w:tab/>
        <w:tab/>
      </w:r>
    </w:p>
    <w:p>
      <w:pPr>
        <w:pStyle w:val="Normal"/>
        <w:ind w:hanging="720" w:start="720" w:end="1440"/>
        <w:rPr>
          <w:b/>
          <w:u w:val="single"/>
        </w:rPr>
      </w:pPr>
      <w:r>
        <w:rPr>
          <w:b/>
          <w:u w:val="single"/>
        </w:rPr>
      </w:r>
    </w:p>
    <w:p>
      <w:pPr>
        <w:pStyle w:val="Normal"/>
        <w:spacing w:lineRule="auto" w:line="480"/>
        <w:rPr/>
      </w:pPr>
      <w:r>
        <w:rPr/>
        <w:tab/>
        <w:t>The November 9 Order not only ignored the fact that the revised Settlement uses actual, specific market data, it also erred in describing the customers’ support for the revised Settlement.  The November 9 Order suggested that NMDQ/MRGTF did not agree with all of the revisions made to the Settlement on September 25, 2000, including the nature of a future filing:</w:t>
      </w:r>
    </w:p>
    <w:p>
      <w:pPr>
        <w:pStyle w:val="Normal"/>
        <w:ind w:start="1440" w:end="1440"/>
        <w:rPr/>
      </w:pPr>
      <w:r>
        <w:rPr/>
        <w:t xml:space="preserve">NMDG/MRGTF, which were one of the supporting parties to Northern’s proposal, </w:t>
      </w:r>
      <w:r>
        <w:rPr>
          <w:u w:val="single"/>
        </w:rPr>
        <w:t>do not even fully agree with all of Northern’s revisions</w:t>
      </w:r>
      <w:r>
        <w:rPr/>
        <w:t xml:space="preserve">, and NMDG/MRGTF do not agree that Northern should be permitted to unilaterally make a future filing to change its proposal.  </w:t>
      </w:r>
    </w:p>
    <w:p>
      <w:pPr>
        <w:pStyle w:val="Normal"/>
        <w:ind w:end="86"/>
        <w:rPr/>
      </w:pPr>
      <w:r>
        <w:rPr/>
      </w:r>
    </w:p>
    <w:p>
      <w:pPr>
        <w:pStyle w:val="Normal"/>
        <w:spacing w:lineRule="auto" w:line="480"/>
        <w:rPr/>
      </w:pPr>
      <w:r>
        <w:rPr/>
        <w:t xml:space="preserve">(November 9 Order, mimeo at 9; emphasis added.)  In fact, NMDG/MRGTF’s comments explaining the effect of the revisions on small customers did </w:t>
      </w:r>
      <w:r>
        <w:rPr>
          <w:u w:val="single"/>
        </w:rPr>
        <w:t>not</w:t>
      </w:r>
      <w:r>
        <w:rPr/>
        <w:t xml:space="preserve"> reflect a lack of agreement “with all of the revisions,” but, rather, were simply an explanation of the effect of the revisions on small customers.  </w:t>
      </w:r>
    </w:p>
    <w:p>
      <w:pPr>
        <w:pStyle w:val="Normal"/>
        <w:spacing w:lineRule="auto" w:line="480"/>
        <w:ind w:firstLine="720" w:end="0"/>
        <w:rPr/>
      </w:pPr>
      <w:r>
        <w:rPr/>
        <w:t xml:space="preserve">The lack of any disagreement over the revisions to the Settlement was expressly noted by Northern:  </w:t>
      </w:r>
    </w:p>
    <w:p>
      <w:pPr>
        <w:pStyle w:val="Normal"/>
        <w:ind w:start="1440" w:end="1440"/>
        <w:rPr/>
      </w:pPr>
      <w:r>
        <w:rPr/>
        <w:tab/>
        <w:t xml:space="preserve">NMDG/MRGTF note (at 4-5) that the Settlement as revised does not change the provisions of the June 2, 2000 Settlement which relate to the Small Customers.  </w:t>
      </w:r>
      <w:r>
        <w:rPr>
          <w:u w:val="single"/>
        </w:rPr>
        <w:t>This is correct</w:t>
      </w:r>
      <w:r>
        <w:rPr/>
        <w:t>.</w:t>
      </w:r>
      <w:r>
        <w:rPr>
          <w:rStyle w:val="FootnoteCharacters"/>
          <w:rStyle w:val="FootnoteReference"/>
        </w:rPr>
        <w:footnoteReference w:id="10"/>
      </w:r>
      <w:r>
        <w:rPr/>
        <w:t>/</w:t>
      </w:r>
    </w:p>
    <w:p>
      <w:pPr>
        <w:pStyle w:val="Normal"/>
        <w:ind w:start="1440" w:end="1440"/>
        <w:rPr/>
      </w:pPr>
      <w:r>
        <w:rPr/>
      </w:r>
    </w:p>
    <w:p>
      <w:pPr>
        <w:pStyle w:val="Normal"/>
        <w:spacing w:lineRule="auto" w:line="480"/>
        <w:rPr/>
      </w:pPr>
      <w:r>
        <w:rPr/>
        <w:t xml:space="preserve">Thus, contrary to the description in the November 9 Order, NMDG/MRGTF </w:t>
      </w:r>
      <w:r>
        <w:rPr>
          <w:u w:val="single"/>
        </w:rPr>
        <w:t>did</w:t>
      </w:r>
      <w:r>
        <w:rPr/>
        <w:t xml:space="preserve"> agree with all of the revisions to the Settlement, with the exception of whether a future filing should be a Section 4 filing by Northern or a new settlement. </w:t>
      </w:r>
      <w:r>
        <w:rPr>
          <w:rStyle w:val="FootnoteCharacters"/>
          <w:rStyle w:val="FootnoteReference"/>
        </w:rPr>
        <w:footnoteReference w:id="11"/>
      </w:r>
      <w:r>
        <w:rPr/>
        <w:t>/  This procedural issue easily could have been decided by the Commission as a policy matter and in no way provided any basis for the Commission’s rejection of the Settlement.  The November 9 Order erred in rejecting the revised Settlement based on a mischaracterization of customer support.</w:t>
      </w:r>
    </w:p>
    <w:p>
      <w:pPr>
        <w:pStyle w:val="Normal"/>
        <w:spacing w:lineRule="auto" w:line="480"/>
        <w:jc w:val="center"/>
        <w:rPr>
          <w:b/>
          <w:bCs/>
        </w:rPr>
      </w:pPr>
      <w:r>
        <w:rPr>
          <w:b/>
          <w:bCs/>
        </w:rPr>
        <w:t>III</w:t>
      </w:r>
    </w:p>
    <w:p>
      <w:pPr>
        <w:pStyle w:val="Normal"/>
        <w:spacing w:lineRule="auto" w:line="480"/>
        <w:jc w:val="center"/>
        <w:rPr>
          <w:b/>
          <w:bCs/>
          <w:u w:val="single"/>
        </w:rPr>
      </w:pPr>
      <w:r>
        <w:rPr>
          <w:b/>
          <w:bCs/>
          <w:u w:val="single"/>
        </w:rPr>
        <w:t>CONCLUSION</w:t>
      </w:r>
    </w:p>
    <w:p>
      <w:pPr>
        <w:pStyle w:val="Normal"/>
        <w:spacing w:lineRule="auto" w:line="480"/>
        <w:rPr/>
      </w:pPr>
      <w:r>
        <w:rPr/>
        <w:tab/>
        <w:t xml:space="preserve">WHEREFORE, for the reasons stated herein, Northern respectfully requests that the Commission grant rehearing and approve the revised Settlement.  </w:t>
      </w:r>
    </w:p>
    <w:p>
      <w:pPr>
        <w:pStyle w:val="Normal"/>
        <w:tabs>
          <w:tab w:val="clear" w:pos="720"/>
          <w:tab w:val="left" w:pos="4320" w:leader="none"/>
        </w:tabs>
        <w:rPr/>
      </w:pPr>
      <w:r>
        <w:rPr/>
        <w:tab/>
        <w:t>Respectfully submitted,</w:t>
      </w:r>
    </w:p>
    <w:p>
      <w:pPr>
        <w:pStyle w:val="Normal"/>
        <w:tabs>
          <w:tab w:val="clear" w:pos="720"/>
          <w:tab w:val="left" w:pos="4320" w:leader="none"/>
        </w:tabs>
        <w:rPr/>
      </w:pPr>
      <w:r>
        <w:rPr/>
      </w:r>
    </w:p>
    <w:p>
      <w:pPr>
        <w:pStyle w:val="Normal"/>
        <w:tabs>
          <w:tab w:val="clear" w:pos="720"/>
          <w:tab w:val="left" w:pos="4320" w:leader="none"/>
        </w:tabs>
        <w:ind w:end="-990"/>
        <w:rPr/>
      </w:pPr>
      <w:r>
        <w:rPr/>
        <w:tab/>
        <w:t>NORTHERN NATURAL GAS COMPANY</w:t>
      </w:r>
    </w:p>
    <w:sectPr>
      <w:headerReference w:type="default" r:id="rId2"/>
      <w:headerReference w:type="first" r:id="rId3"/>
      <w:footnotePr>
        <w:numFmt w:val="decimal"/>
      </w:footnotePr>
      <w:type w:val="nextPage"/>
      <w:pgSz w:w="12240" w:h="15840"/>
      <w:pgMar w:left="2160" w:right="216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w:t>
        <w:tab/>
      </w:r>
      <w:r>
        <w:rPr>
          <w:u w:val="single"/>
        </w:rPr>
        <w:t>Northern Natural Gas Co</w:t>
      </w:r>
      <w:r>
        <w:rPr/>
        <w:t>., 93 FERC ¶61,144 (2000).</w:t>
      </w:r>
    </w:p>
    <w:p>
      <w:pPr>
        <w:pStyle w:val="FootnoteText"/>
        <w:rPr/>
      </w:pPr>
      <w:r>
        <w:rPr/>
      </w:r>
    </w:p>
  </w:footnote>
  <w:footnote w:id="3">
    <w:p>
      <w:pPr>
        <w:pStyle w:val="FootnoteText"/>
        <w:rPr/>
      </w:pPr>
      <w:r>
        <w:rPr>
          <w:rStyle w:val="FootnoteCharacters"/>
        </w:rPr>
        <w:footnoteRef/>
      </w:r>
      <w:r>
        <w:rPr/>
        <w:t>/</w:t>
        <w:tab/>
        <w:t xml:space="preserve">Appendix A to “Answer of Northern Natural Gas Company to Requests for Rejection, Modification and Clarification of Settlement,” filed October 13, 2000.  </w:t>
      </w:r>
    </w:p>
  </w:footnote>
  <w:footnote w:id="4">
    <w:p>
      <w:pPr>
        <w:pStyle w:val="FootnoteText"/>
        <w:rPr/>
      </w:pPr>
      <w:r>
        <w:rPr>
          <w:rStyle w:val="FootnoteCharacters"/>
        </w:rPr>
        <w:footnoteRef/>
      </w:r>
      <w:r>
        <w:rPr/>
        <w:t>/</w:t>
        <w:tab/>
        <w:t>Answer of Northern Natural Gas Company to Requests for Rejection, Modification and Clarification of Settlement, filed October 13, 2000, Appendix A, Affidavit of Dr. William G. Foster at 1-2.</w:t>
      </w:r>
    </w:p>
    <w:p>
      <w:pPr>
        <w:pStyle w:val="FootnoteText"/>
        <w:rPr/>
      </w:pPr>
      <w:r>
        <w:rPr/>
      </w:r>
    </w:p>
  </w:footnote>
  <w:footnote w:id="5">
    <w:p>
      <w:pPr>
        <w:pStyle w:val="FootnoteText"/>
        <w:rPr/>
      </w:pPr>
      <w:r>
        <w:rPr>
          <w:rStyle w:val="FootnoteCharacters"/>
        </w:rPr>
        <w:footnoteRef/>
      </w:r>
      <w:r>
        <w:rPr/>
        <w:t>/</w:t>
        <w:tab/>
      </w:r>
      <w:r>
        <w:rPr>
          <w:u w:val="single"/>
        </w:rPr>
        <w:t>Id</w:t>
      </w:r>
      <w:r>
        <w:rPr/>
        <w:t>. at 2, Paragraph 4.</w:t>
      </w:r>
    </w:p>
    <w:p>
      <w:pPr>
        <w:pStyle w:val="FootnoteText"/>
        <w:rPr/>
      </w:pPr>
      <w:r>
        <w:rPr/>
      </w:r>
    </w:p>
  </w:footnote>
  <w:footnote w:id="6">
    <w:p>
      <w:pPr>
        <w:pStyle w:val="FootnoteText"/>
        <w:rPr/>
      </w:pPr>
      <w:r>
        <w:rPr>
          <w:rStyle w:val="FootnoteCharacters"/>
        </w:rPr>
        <w:footnoteRef/>
      </w:r>
      <w:r>
        <w:rPr/>
        <w:t>/</w:t>
        <w:tab/>
      </w:r>
      <w:r>
        <w:rPr>
          <w:u w:val="single"/>
        </w:rPr>
        <w:t>Id</w:t>
      </w:r>
      <w:r>
        <w:rPr/>
        <w:t>. at 1, Paragraph 3.</w:t>
      </w:r>
    </w:p>
    <w:p>
      <w:pPr>
        <w:pStyle w:val="FootnoteText"/>
        <w:rPr/>
      </w:pPr>
      <w:r>
        <w:rPr/>
      </w:r>
    </w:p>
  </w:footnote>
  <w:footnote w:id="7">
    <w:p>
      <w:pPr>
        <w:pStyle w:val="FootnoteText"/>
        <w:rPr/>
      </w:pPr>
      <w:r>
        <w:rPr>
          <w:rStyle w:val="FootnoteCharacters"/>
        </w:rPr>
        <w:footnoteRef/>
      </w:r>
      <w:r>
        <w:rPr/>
        <w:t>/</w:t>
        <w:tab/>
      </w:r>
      <w:r>
        <w:rPr>
          <w:u w:val="single"/>
        </w:rPr>
        <w:t>Id</w:t>
      </w:r>
      <w:r>
        <w:rPr/>
        <w:t>. at 1-2.</w:t>
      </w:r>
    </w:p>
  </w:footnote>
  <w:footnote w:id="8">
    <w:p>
      <w:pPr>
        <w:pStyle w:val="FootnoteText"/>
        <w:rPr/>
      </w:pPr>
      <w:r>
        <w:rPr>
          <w:rStyle w:val="FootnoteCharacters"/>
        </w:rPr>
        <w:footnoteRef/>
      </w:r>
      <w:r>
        <w:rPr/>
        <w:t>/</w:t>
        <w:tab/>
        <w:t>The month of November, 1996 was not covered by the 1996 Settlement because such settlement did not become effective until December 1, 1996.</w:t>
      </w:r>
    </w:p>
    <w:p>
      <w:pPr>
        <w:pStyle w:val="FootnoteText"/>
        <w:rPr/>
      </w:pPr>
      <w:r>
        <w:rPr/>
      </w:r>
    </w:p>
  </w:footnote>
  <w:footnote w:id="9">
    <w:p>
      <w:pPr>
        <w:pStyle w:val="FootnoteText"/>
        <w:rPr/>
      </w:pPr>
      <w:r>
        <w:rPr>
          <w:rStyle w:val="FootnoteCharacters"/>
        </w:rPr>
        <w:footnoteRef/>
      </w:r>
      <w:r>
        <w:rPr/>
        <w:t>/</w:t>
        <w:tab/>
        <w:t xml:space="preserve">The Commission’s error begins with a reference to the June 2, 2000 Settlement, which had been revised.  (November 9 Order, mimeo at 9.)  Thus, it states that Northern allegedly failed to explain why Carlton Sourcers “should only be reimbursed for 10% of their total cost premium” in reference to the 10 percent compensation provided by the June 2, 2000 Settlement. </w:t>
      </w:r>
    </w:p>
    <w:p>
      <w:pPr>
        <w:pStyle w:val="FootnoteText"/>
        <w:rPr/>
      </w:pPr>
      <w:r>
        <w:rPr/>
      </w:r>
    </w:p>
  </w:footnote>
  <w:footnote w:id="10">
    <w:p>
      <w:pPr>
        <w:pStyle w:val="FootnoteText"/>
        <w:rPr/>
      </w:pPr>
      <w:r>
        <w:rPr>
          <w:rStyle w:val="FootnoteCharacters"/>
        </w:rPr>
        <w:footnoteRef/>
      </w:r>
      <w:r>
        <w:rPr/>
        <w:t>/</w:t>
        <w:tab/>
        <w:t xml:space="preserve">Answer of Northern Natural Gas Company to Requests for Rejection, Modification and Clarification of Settlement, filed October 13, 2000, at 15; emphasis added.  </w:t>
      </w:r>
    </w:p>
    <w:p>
      <w:pPr>
        <w:pStyle w:val="FootnoteText"/>
        <w:rPr/>
      </w:pPr>
      <w:r>
        <w:rPr/>
      </w:r>
    </w:p>
  </w:footnote>
  <w:footnote w:id="11">
    <w:p>
      <w:pPr>
        <w:pStyle w:val="FootnoteText"/>
        <w:rPr/>
      </w:pPr>
      <w:r>
        <w:rPr>
          <w:rStyle w:val="FootnoteCharacters"/>
        </w:rPr>
        <w:footnoteRef/>
      </w:r>
      <w:r>
        <w:rPr/>
        <w:t>/</w:t>
        <w:tab/>
        <w:t xml:space="preserve">In contrast to the November 9 Order’s erroneous discussion on the merits (at 9), its summary of the facts only one page earlier (at 8) correctly states that “NMDG/MRGTF </w:t>
      </w:r>
      <w:r>
        <w:rPr>
          <w:u w:val="single"/>
        </w:rPr>
        <w:t>support</w:t>
      </w:r>
      <w:r>
        <w:rPr/>
        <w:t xml:space="preserve"> Northern’s revisions to its proposal with one exception.”</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192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G Times" w:hAnsi="CG Times" w:eastAsia="Times New Roman" w:cs="CG Times"/>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CG Times" w:hAnsi="CG Times" w:cs="CG Times"/>
      <w:position w:val="0"/>
      <w:sz w:val="24"/>
      <w:sz w:val="24"/>
      <w:u w:val="single"/>
      <w:vertAlign w:val="baselin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ind w:hanging="720" w:start="720" w:end="0"/>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2000-12-05T18:35:00Z</dcterms:created>
  <dc:creator>Linda</dc:creator>
  <dc:description/>
  <dc:language>en-CA</dc:language>
  <cp:lastModifiedBy>Keith Brown</cp:lastModifiedBy>
  <cp:lastPrinted>2000-12-08T15:52:00Z</cp:lastPrinted>
  <dcterms:modified xsi:type="dcterms:W3CDTF">2000-12-08T18:23:00Z</dcterms:modified>
  <cp:revision>12</cp:revision>
  <dc:subject/>
  <dc:title>UNITED STATES OF AMERICA</dc:title>
</cp:coreProperties>
</file>