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UNITED STATES OF AMERICA</w:t>
      </w:r>
    </w:p>
    <w:p>
      <w:pPr>
        <w:pStyle w:val="Normal"/>
        <w:jc w:val="center"/>
        <w:rPr>
          <w:b/>
          <w:bCs/>
        </w:rPr>
      </w:pPr>
      <w:r>
        <w:rPr>
          <w:b/>
          <w:bCs/>
        </w:rPr>
        <w:t>BEFORE THE FEDERAL ENERGY REGULATORY COMMISSION</w:t>
      </w:r>
    </w:p>
    <w:p>
      <w:pPr>
        <w:pStyle w:val="Normal"/>
        <w:jc w:val="center"/>
        <w:rPr>
          <w:b/>
          <w:bCs/>
        </w:rPr>
      </w:pPr>
      <w:r>
        <w:rPr>
          <w:b/>
          <w:bCs/>
        </w:rPr>
      </w:r>
    </w:p>
    <w:p>
      <w:pPr>
        <w:pStyle w:val="Normal"/>
        <w:jc w:val="center"/>
        <w:rPr>
          <w:b/>
          <w:bCs/>
        </w:rPr>
      </w:pPr>
      <w:r>
        <w:rPr>
          <w:b/>
          <w:bCs/>
        </w:rPr>
      </w:r>
    </w:p>
    <w:p>
      <w:pPr>
        <w:pStyle w:val="Normal"/>
        <w:tabs>
          <w:tab w:val="clear" w:pos="720"/>
          <w:tab w:val="center" w:pos="4680" w:leader="none"/>
        </w:tabs>
        <w:jc w:val="both"/>
        <w:rPr>
          <w:b/>
          <w:bCs/>
        </w:rPr>
      </w:pPr>
      <w:r>
        <w:rPr>
          <w:b/>
          <w:bCs/>
        </w:rPr>
        <w:t>Texas, New Mexico and Arizona Shippers,</w:t>
        <w:tab/>
        <w:t>}</w:t>
      </w:r>
    </w:p>
    <w:p>
      <w:pPr>
        <w:pStyle w:val="Normal"/>
        <w:tabs>
          <w:tab w:val="clear" w:pos="720"/>
          <w:tab w:val="left" w:pos="1080" w:leader="none"/>
          <w:tab w:val="center" w:pos="4680" w:leader="none"/>
        </w:tabs>
        <w:jc w:val="both"/>
        <w:rPr>
          <w:b/>
          <w:bCs/>
        </w:rPr>
      </w:pPr>
      <w:r>
        <w:rPr>
          <w:b/>
          <w:bCs/>
        </w:rPr>
        <w:tab/>
        <w:t>Complainants</w:t>
        <w:tab/>
        <w:t>}</w:t>
      </w:r>
    </w:p>
    <w:p>
      <w:pPr>
        <w:pStyle w:val="Normal"/>
        <w:tabs>
          <w:tab w:val="clear" w:pos="720"/>
          <w:tab w:val="center" w:pos="4680" w:leader="none"/>
        </w:tabs>
        <w:jc w:val="both"/>
        <w:rPr>
          <w:b/>
          <w:bCs/>
        </w:rPr>
      </w:pPr>
      <w:r>
        <w:rPr>
          <w:b/>
          <w:bCs/>
        </w:rPr>
        <w:tab/>
        <w:t>}</w:t>
      </w:r>
    </w:p>
    <w:p>
      <w:pPr>
        <w:pStyle w:val="Normal"/>
        <w:tabs>
          <w:tab w:val="clear" w:pos="720"/>
          <w:tab w:val="left" w:pos="1080" w:leader="none"/>
          <w:tab w:val="center" w:pos="4680" w:leader="none"/>
        </w:tabs>
        <w:jc w:val="both"/>
        <w:rPr>
          <w:b/>
          <w:bCs/>
        </w:rPr>
      </w:pPr>
      <w:r>
        <w:rPr>
          <w:b/>
          <w:bCs/>
        </w:rPr>
        <w:tab/>
        <w:t>v.</w:t>
        <w:tab/>
        <w:t>}</w:t>
        <w:tab/>
        <w:tab/>
        <w:tab/>
        <w:t>Docket No. RP01-486-000</w:t>
      </w:r>
    </w:p>
    <w:p>
      <w:pPr>
        <w:pStyle w:val="Normal"/>
        <w:tabs>
          <w:tab w:val="clear" w:pos="720"/>
          <w:tab w:val="center" w:pos="4680" w:leader="none"/>
        </w:tabs>
        <w:jc w:val="both"/>
        <w:rPr>
          <w:b/>
          <w:bCs/>
        </w:rPr>
      </w:pPr>
      <w:r>
        <w:rPr>
          <w:b/>
          <w:bCs/>
        </w:rPr>
        <w:tab/>
        <w:t>}</w:t>
      </w:r>
    </w:p>
    <w:p>
      <w:pPr>
        <w:pStyle w:val="Normal"/>
        <w:tabs>
          <w:tab w:val="clear" w:pos="720"/>
          <w:tab w:val="center" w:pos="4680" w:leader="none"/>
        </w:tabs>
        <w:jc w:val="both"/>
        <w:rPr>
          <w:b/>
          <w:bCs/>
        </w:rPr>
      </w:pPr>
      <w:r>
        <w:rPr>
          <w:b/>
          <w:bCs/>
        </w:rPr>
        <w:t>El Paso Natural Gas Company,</w:t>
        <w:tab/>
        <w:t>}</w:t>
      </w:r>
    </w:p>
    <w:p>
      <w:pPr>
        <w:pStyle w:val="Normal"/>
        <w:tabs>
          <w:tab w:val="clear" w:pos="720"/>
          <w:tab w:val="left" w:pos="1080" w:leader="none"/>
          <w:tab w:val="center" w:pos="4680" w:leader="none"/>
        </w:tabs>
        <w:jc w:val="both"/>
        <w:rPr>
          <w:b/>
          <w:bCs/>
        </w:rPr>
      </w:pPr>
      <w:r>
        <w:rPr>
          <w:b/>
          <w:bCs/>
        </w:rPr>
        <w:tab/>
        <w:t>Respondent</w:t>
        <w:tab/>
        <w:t>}</w:t>
      </w:r>
    </w:p>
    <w:p>
      <w:pPr>
        <w:pStyle w:val="Normal"/>
        <w:tabs>
          <w:tab w:val="clear" w:pos="720"/>
          <w:tab w:val="center" w:pos="4680" w:leader="none"/>
        </w:tabs>
        <w:jc w:val="both"/>
        <w:rPr>
          <w:b/>
          <w:bCs/>
        </w:rPr>
      </w:pPr>
      <w:r>
        <w:rPr>
          <w:b/>
          <w:bCs/>
        </w:rPr>
        <w:tab/>
        <w:t>}</w:t>
      </w:r>
    </w:p>
    <w:p>
      <w:pPr>
        <w:pStyle w:val="Normal"/>
        <w:jc w:val="both"/>
        <w:rPr>
          <w:b/>
          <w:bCs/>
        </w:rPr>
      </w:pPr>
      <w:r>
        <w:rPr>
          <w:b/>
          <w:bCs/>
        </w:rPr>
      </w:r>
    </w:p>
    <w:p>
      <w:pPr>
        <w:pStyle w:val="Normal"/>
        <w:jc w:val="both"/>
        <w:rPr>
          <w:b/>
          <w:bCs/>
        </w:rPr>
      </w:pPr>
      <w:r>
        <w:rPr>
          <w:b/>
          <w:bCs/>
        </w:rPr>
      </w:r>
    </w:p>
    <w:p>
      <w:pPr>
        <w:pStyle w:val="Heading1"/>
        <w:ind w:hanging="0" w:start="0"/>
        <w:rPr/>
      </w:pPr>
      <w:r>
        <w:rPr/>
        <w:t>ANSWER OF ENRON CORP. TO MOTION</w:t>
      </w:r>
    </w:p>
    <w:p>
      <w:pPr>
        <w:pStyle w:val="Normal"/>
        <w:jc w:val="center"/>
        <w:rPr>
          <w:b/>
          <w:bCs/>
        </w:rPr>
      </w:pPr>
      <w:r>
        <w:rPr>
          <w:b/>
          <w:bCs/>
        </w:rPr>
        <w:t>FOR PARTIAL SUMMARY JUDGMENT</w:t>
      </w:r>
    </w:p>
    <w:p>
      <w:pPr>
        <w:pStyle w:val="Normal"/>
        <w:jc w:val="center"/>
        <w:rPr>
          <w:b/>
          <w:bCs/>
        </w:rPr>
      </w:pPr>
      <w:r>
        <w:rPr>
          <w:b/>
          <w:bCs/>
        </w:rPr>
      </w:r>
    </w:p>
    <w:p>
      <w:pPr>
        <w:pStyle w:val="Normal"/>
        <w:jc w:val="center"/>
        <w:rPr>
          <w:b/>
          <w:bCs/>
        </w:rPr>
      </w:pPr>
      <w:r>
        <w:rPr>
          <w:b/>
          <w:bCs/>
        </w:rPr>
      </w:r>
    </w:p>
    <w:p>
      <w:pPr>
        <w:pStyle w:val="BodyText"/>
        <w:ind w:firstLine="1440" w:end="0"/>
        <w:rPr/>
      </w:pPr>
      <w:r>
        <w:rPr/>
        <w:t>On September 10, 2001, the Texas, New Mexico and Arizona Shippers (“TNMA Shippers”) shippers filed a Motion for Partial Summary Judgment in the above-captioned proceeding.  TNMA Shippers request that the Commission rule that mainline capacity on El Paso Natural Gas Company’s (“El Paso”) system is inadequate to serve existing firm customers and then establish a remedy phase in this proceeding.  Pursuant to Rule 213 of the Commission’s Rules of Practice and Procedure, 18 C.F.R. 385.213, Enron Corp. (“Enron”) hereby files this Answer to that Motion for Partial Summary Judgment.</w:t>
      </w:r>
    </w:p>
    <w:p>
      <w:pPr>
        <w:pStyle w:val="Normal"/>
        <w:spacing w:lineRule="auto" w:line="480"/>
        <w:ind w:firstLine="1440" w:end="0"/>
        <w:jc w:val="both"/>
        <w:rPr/>
      </w:pPr>
      <w:r>
        <w:rPr/>
        <w:t>Enron moved to intervene in this proceeding on August 6, 2001.  In its motion, Enron asked that the Commission consolidate this proceeding with the complaint filed in RP01 484-000 by Joint Complainants.  Enron further asserted in its motion that, as part of a remedy to the capacity shortage on El Paso, the Commission should require El Paso to immediately offer firm shippers the opportunity to turn back capacity under contract in an effort to make more capacity available to meet the needs of the firm shippers on the system.</w:t>
      </w:r>
    </w:p>
    <w:p>
      <w:pPr>
        <w:pStyle w:val="Normal"/>
        <w:spacing w:lineRule="auto" w:line="480"/>
        <w:ind w:firstLine="1440" w:end="0"/>
        <w:jc w:val="both"/>
        <w:rPr/>
      </w:pPr>
      <w:r>
        <w:rPr/>
        <w:t>In response to the September 10, 2001 Motion for Partial Summary Judgment, Enron would reiterate the points it made earlier in its motion for intervention, namely, that the Commission consider the issues in this proceeding together with the issues raised in the complaint filed by the Joint Complainants in Docket No. RP01-484.  At issue in both cases are adequacy of capacity, El Paso’s inability to meet its firm shippers needs, and the extent of El Paso’s obligations to existing firm shippers, both contract demand and full requirements.  The issues are inextricably intertwined and the Commission must deal with them consistently and contemporaneously.  We have experienced the consequences of dealing with issues on the El Paso system on a piecemeal basis in the past, e.g., the areas of allocation of receipt and delivery points and pooling, and it has been a far from satisfactory experience.</w:t>
      </w:r>
    </w:p>
    <w:p>
      <w:pPr>
        <w:pStyle w:val="Normal"/>
        <w:spacing w:lineRule="auto" w:line="480"/>
        <w:ind w:firstLine="1440" w:end="0"/>
        <w:jc w:val="both"/>
        <w:rPr/>
      </w:pPr>
      <w:r>
        <w:rPr/>
        <w:t xml:space="preserve">From a substantive standpoint, we have an additional concern over the proper remedies that the Commission might order to redress the capacity problems on El Paso.  In its Motion for Partial Summary Judgment, the TNMA Shippers propose several remedies, including terminating El Paso’s most recent firm contracts, augmentation of facilities, provision of reservation charge credits in instances of curtailment or the creating of a remedies phase in this proceeding.  Enron proposed in its motion for leave to intervene that the Commission require El Paso to allow shippers to voluntarily turn back capacity currently under a contract as a means of addressing in some measure the lack of adequate capacity on the system.  Enron asserts that this remedy, in that it calls for a </w:t>
      </w:r>
      <w:r>
        <w:rPr>
          <w:i/>
          <w:iCs/>
        </w:rPr>
        <w:t>voluntary</w:t>
      </w:r>
      <w:r>
        <w:rPr/>
        <w:t xml:space="preserve"> turnback of capacity, should be considered before certain firm shippers lose their rights to capacity on an </w:t>
      </w:r>
      <w:r>
        <w:rPr>
          <w:i/>
          <w:iCs/>
        </w:rPr>
        <w:t xml:space="preserve">involuntary </w:t>
      </w:r>
      <w:r>
        <w:rPr/>
        <w:t xml:space="preserve">basis, as would be the result under TNMA Shippers’ proposal to terminate contracts on a last-in, first-out basis.  If voluntary turnback does not cure the capacity problems completely, then the Commission could consider other measures, such as involuntary turnback and system expansions.  Enron would support a full review of the remedies available in this case, but we submit that if El Paso offered shippers the opportunity to make voluntary turnbacks of firm capacity now, capacity constraints would be alleviated in some measure, outside of any regulatory hearing, and certainly in a much more expeditious manner.  Certainly, if </w:t>
      </w:r>
      <w:r>
        <w:rPr>
          <w:i/>
          <w:iCs/>
        </w:rPr>
        <w:t>fixing</w:t>
      </w:r>
      <w:r>
        <w:rPr/>
        <w:t>,</w:t>
      </w:r>
      <w:r>
        <w:rPr>
          <w:i/>
          <w:iCs/>
        </w:rPr>
        <w:t xml:space="preserve"> </w:t>
      </w:r>
      <w:r>
        <w:rPr/>
        <w:t>rather that litigating, the problem is the real goal, this particular measure can be instituted prior to any remedies phase and allowed to bring at least some relief to the consumers served by El Paso.  Therefore, Enron asks that the Commission direct El Paso to offer voluntary turnback immediately.</w:t>
      </w:r>
    </w:p>
    <w:p>
      <w:pPr>
        <w:pStyle w:val="Normal"/>
        <w:spacing w:lineRule="auto" w:line="480" w:before="240" w:after="0"/>
        <w:ind w:firstLine="1440" w:end="0"/>
        <w:jc w:val="both"/>
        <w:rPr/>
      </w:pPr>
      <w:r>
        <w:rPr/>
        <w:t>WHEREFORE, in light of the foregoing, Enron respectfully requests that the Commission consolidate this proceeding, and its consideration of the Motion for Partial Summary Judgment, with the complaint filed in Docket No. RP01-484 and order El Paso to move expeditiously to offer existing shippers the ability to turn back firm contracted capacity in order to make more capacity available to the remaining firm shippers.</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Enron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sz w:val="16"/>
        </w:rPr>
      </w:pPr>
      <w:r>
        <w:rPr/>
        <w:t>Dated:  September 21, 2001</w:t>
      </w:r>
    </w:p>
    <w:p>
      <w:pPr>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16"/>
          <w:u w:val="single"/>
        </w:rPr>
      </w:pPr>
      <w:r>
        <w:rPr>
          <w:sz w:val="16"/>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rPr>
          <w:u w:val="single"/>
        </w:rPr>
      </w:pPr>
      <w:r>
        <w:rPr>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ind w:firstLine="1440" w:end="0"/>
        <w:jc w:val="both"/>
        <w:rPr/>
      </w:pPr>
      <w:r>
        <w:rPr/>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ind w:firstLine="1440" w:end="0"/>
        <w:jc w:val="both"/>
        <w:rPr/>
      </w:pPr>
      <w:r>
        <w:rPr/>
        <w:t>Dated this 21st day of September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BodyText"/>
        <w:rPr/>
      </w:pPr>
      <w:r>
        <w:rPr/>
      </w:r>
    </w:p>
    <w:sectPr>
      <w:headerReference w:type="default" r:id="rId4"/>
      <w:headerReference w:type="first" r:id="rId5"/>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Style w:val="PageNumber"/>
        <w:sz w:val="22"/>
      </w:rPr>
    </w:pPr>
    <w:r>
      <w:rPr>
        <w:sz w:val="22"/>
      </w:rPr>
      <w:t>Docket No. RP01-486-000</w:t>
      <w:tab/>
      <w:tab/>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tabs>
        <w:tab w:val="clear" w:pos="8640"/>
        <w:tab w:val="center" w:pos="4320" w:leader="none"/>
        <w:tab w:val="right" w:pos="9270" w:leader="none"/>
      </w:tabs>
      <w:rPr>
        <w:rStyle w:val="PageNumber"/>
        <w:sz w:val="22"/>
      </w:rPr>
    </w:pPr>
    <w:r>
      <w:rPr/>
    </w:r>
  </w:p>
  <w:p>
    <w:pPr>
      <w:pStyle w:val="Header"/>
      <w:tabs>
        <w:tab w:val="clear" w:pos="8640"/>
        <w:tab w:val="center" w:pos="4320" w:leader="none"/>
        <w:tab w:val="right" w:pos="9270" w:leader="none"/>
      </w:tabs>
      <w:rPr>
        <w:rStyle w:val="PageNumber"/>
      </w:rPr>
    </w:pPr>
    <w:r>
      <w:rPr/>
    </w:r>
  </w:p>
  <w:p>
    <w:pPr>
      <w:pStyle w:val="Header"/>
      <w:tabs>
        <w:tab w:val="clear" w:pos="8640"/>
        <w:tab w:val="center" w:pos="4320" w:leader="none"/>
        <w:tab w:val="right" w:pos="9270" w:leader="none"/>
      </w:tabs>
      <w:rPr>
        <w:rStyle w:val="PageNumber"/>
      </w:rPr>
    </w:pPr>
    <w:r>
      <w:rPr/>
    </w:r>
  </w:p>
  <w:p>
    <w:pPr>
      <w:pStyle w:val="Header"/>
      <w:tabs>
        <w:tab w:val="clear" w:pos="8640"/>
        <w:tab w:val="center" w:pos="4320" w:leader="none"/>
        <w:tab w:val="right" w:pos="9270" w:leader="none"/>
      </w:tabs>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t>DRAFT 2 – 9/20/01, 11:50 am</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RP01-486-000</w:t>
    </w:r>
    <w:r>
      <mc:AlternateContent>
        <mc:Choice Requires="wps">
          <w:drawing>
            <wp:anchor behindDoc="0" distT="0" distB="0" distL="0" distR="0" simplePos="0" locked="0" layoutInCell="1" allowOverlap="1" relativeHeight="0">
              <wp:simplePos x="0" y="0"/>
              <wp:positionH relativeFrom="page">
                <wp:posOffset>6172835</wp:posOffset>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486.05pt;mso-position-horizontal-relative:page">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Header"/>
      <w:rPr/>
    </w:pPr>
    <w:r>
      <w:rPr/>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t>DRAFT 2 – 9/20/01, 11:50 am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2001-09-20T14:29:00Z</dcterms:created>
  <dc:creator>llawner</dc:creator>
  <dc:description/>
  <dc:language>en-CA</dc:language>
  <cp:lastModifiedBy>Rebecca W. Cantrell</cp:lastModifiedBy>
  <dcterms:modified xsi:type="dcterms:W3CDTF">2001-09-20T14:30:00Z</dcterms:modified>
  <cp:revision>3</cp:revision>
  <dc:subject/>
  <dc:title>UNITED STATES OF AMERICA</dc:title>
</cp:coreProperties>
</file>