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pPr>
      <w:r>
        <w:rPr/>
        <w:t>IN THE</w:t>
      </w:r>
    </w:p>
    <w:p>
      <w:pPr>
        <w:pStyle w:val="Normal"/>
        <w:tabs>
          <w:tab w:val="clear" w:pos="720"/>
          <w:tab w:val="left" w:pos="1440" w:leader="none"/>
          <w:tab w:val="left" w:pos="4320" w:leader="none"/>
          <w:tab w:val="left" w:pos="5040" w:leader="none"/>
        </w:tabs>
        <w:jc w:val="center"/>
        <w:rPr/>
      </w:pPr>
      <w:r>
        <w:rPr/>
        <w:t>UNITED STATES OF AMERICA</w:t>
      </w:r>
    </w:p>
    <w:p>
      <w:pPr>
        <w:pStyle w:val="Normal"/>
        <w:tabs>
          <w:tab w:val="clear" w:pos="720"/>
          <w:tab w:val="left" w:pos="1440" w:leader="none"/>
          <w:tab w:val="left" w:pos="4320" w:leader="none"/>
          <w:tab w:val="left" w:pos="5040" w:leader="none"/>
        </w:tabs>
        <w:jc w:val="center"/>
        <w:rPr/>
      </w:pPr>
      <w:r>
        <w:rPr/>
        <w:t>FEDERAL ENERGY REGULATORY COMMISSION</w:t>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680" w:leader="none"/>
          <w:tab w:val="right" w:pos="9360" w:leader="none"/>
        </w:tabs>
        <w:jc w:val="both"/>
        <w:rPr/>
      </w:pPr>
      <w:r>
        <w:rPr/>
        <w:t>Aera Energy LLC, Amoco Production</w:t>
      </w:r>
    </w:p>
    <w:p>
      <w:pPr>
        <w:pStyle w:val="Normal"/>
        <w:tabs>
          <w:tab w:val="clear" w:pos="720"/>
          <w:tab w:val="left" w:pos="1440" w:leader="none"/>
          <w:tab w:val="left" w:pos="4680" w:leader="none"/>
          <w:tab w:val="right" w:pos="9360" w:leader="none"/>
        </w:tabs>
        <w:jc w:val="both"/>
        <w:rPr/>
      </w:pPr>
      <w:r>
        <w:rPr/>
        <w:t>Company, BP Energy Company,</w:t>
      </w:r>
    </w:p>
    <w:p>
      <w:pPr>
        <w:pStyle w:val="Normal"/>
        <w:tabs>
          <w:tab w:val="clear" w:pos="720"/>
          <w:tab w:val="left" w:pos="1440" w:leader="none"/>
          <w:tab w:val="left" w:pos="4680" w:leader="none"/>
          <w:tab w:val="right" w:pos="9360" w:leader="none"/>
        </w:tabs>
        <w:jc w:val="both"/>
        <w:rPr/>
      </w:pPr>
      <w:r>
        <w:rPr/>
        <w:t>Burlington Resources Oil &amp; Gas Company LP,</w:t>
      </w:r>
    </w:p>
    <w:p>
      <w:pPr>
        <w:pStyle w:val="Normal"/>
        <w:tabs>
          <w:tab w:val="clear" w:pos="720"/>
          <w:tab w:val="left" w:pos="1440" w:leader="none"/>
          <w:tab w:val="left" w:pos="4680" w:leader="none"/>
          <w:tab w:val="right" w:pos="9360" w:leader="none"/>
        </w:tabs>
        <w:jc w:val="both"/>
        <w:rPr/>
      </w:pPr>
      <w:r>
        <w:rPr/>
        <w:t>Conoco Inc., Coral Energy Resources, LP,</w:t>
      </w:r>
    </w:p>
    <w:p>
      <w:pPr>
        <w:pStyle w:val="Normal"/>
        <w:tabs>
          <w:tab w:val="clear" w:pos="720"/>
          <w:tab w:val="left" w:pos="1440" w:leader="none"/>
          <w:tab w:val="left" w:pos="4680" w:leader="none"/>
          <w:tab w:val="right" w:pos="9360" w:leader="none"/>
        </w:tabs>
        <w:jc w:val="both"/>
        <w:rPr/>
      </w:pPr>
      <w:r>
        <w:rPr/>
        <w:t>ONEOK Energy Marketing &amp; Trading Company,</w:t>
      </w:r>
    </w:p>
    <w:p>
      <w:pPr>
        <w:pStyle w:val="Normal"/>
        <w:tabs>
          <w:tab w:val="clear" w:pos="720"/>
          <w:tab w:val="left" w:pos="1440" w:leader="none"/>
          <w:tab w:val="left" w:pos="4680" w:leader="none"/>
          <w:tab w:val="right" w:pos="9360" w:leader="none"/>
        </w:tabs>
        <w:jc w:val="both"/>
        <w:rPr/>
      </w:pPr>
      <w:r>
        <w:rPr/>
        <w:t xml:space="preserve">L.P., Pacific Gas and Electric Company, </w:t>
      </w:r>
    </w:p>
    <w:p>
      <w:pPr>
        <w:pStyle w:val="Normal"/>
        <w:tabs>
          <w:tab w:val="clear" w:pos="720"/>
          <w:tab w:val="left" w:pos="1440" w:leader="none"/>
          <w:tab w:val="left" w:pos="4680" w:leader="none"/>
          <w:tab w:val="right" w:pos="9360" w:leader="none"/>
        </w:tabs>
        <w:jc w:val="both"/>
        <w:rPr/>
      </w:pPr>
      <w:r>
        <w:rPr/>
        <w:t>Panda Gila River L.P., Public Utilities</w:t>
      </w:r>
    </w:p>
    <w:p>
      <w:pPr>
        <w:pStyle w:val="Normal"/>
        <w:tabs>
          <w:tab w:val="clear" w:pos="720"/>
          <w:tab w:val="left" w:pos="1440" w:leader="none"/>
          <w:tab w:val="left" w:pos="4680" w:leader="none"/>
          <w:tab w:val="right" w:pos="9360" w:leader="none"/>
        </w:tabs>
        <w:jc w:val="both"/>
        <w:rPr/>
      </w:pPr>
      <w:r>
        <w:rPr/>
        <w:t>Commission of the State of California,</w:t>
      </w:r>
    </w:p>
    <w:p>
      <w:pPr>
        <w:pStyle w:val="Normal"/>
        <w:tabs>
          <w:tab w:val="clear" w:pos="720"/>
          <w:tab w:val="left" w:pos="1440" w:leader="none"/>
          <w:tab w:val="left" w:pos="4680" w:leader="none"/>
          <w:tab w:val="right" w:pos="9360" w:leader="none"/>
        </w:tabs>
        <w:jc w:val="both"/>
        <w:rPr/>
      </w:pPr>
      <w:r>
        <w:rPr/>
        <w:t>Southern California Edison Company,</w:t>
      </w:r>
    </w:p>
    <w:p>
      <w:pPr>
        <w:pStyle w:val="Normal"/>
        <w:tabs>
          <w:tab w:val="clear" w:pos="720"/>
          <w:tab w:val="left" w:pos="1440" w:leader="none"/>
          <w:tab w:val="left" w:pos="4680" w:leader="none"/>
          <w:tab w:val="right" w:pos="9360" w:leader="none"/>
        </w:tabs>
        <w:jc w:val="both"/>
        <w:rPr/>
      </w:pPr>
      <w:r>
        <w:rPr/>
        <w:t>Southern California Gas Company and Texaco</w:t>
      </w:r>
    </w:p>
    <w:p>
      <w:pPr>
        <w:pStyle w:val="Normal"/>
        <w:tabs>
          <w:tab w:val="clear" w:pos="720"/>
          <w:tab w:val="left" w:pos="1440" w:leader="none"/>
          <w:tab w:val="left" w:pos="4680" w:leader="none"/>
          <w:tab w:val="right" w:pos="9360" w:leader="none"/>
        </w:tabs>
        <w:jc w:val="both"/>
        <w:rPr/>
      </w:pPr>
      <w:r>
        <w:rPr/>
        <w:t>Natural Gas Inc.</w:t>
      </w:r>
    </w:p>
    <w:p>
      <w:pPr>
        <w:pStyle w:val="Normal"/>
        <w:tabs>
          <w:tab w:val="clear" w:pos="720"/>
          <w:tab w:val="left" w:pos="2340" w:leader="none"/>
          <w:tab w:val="left" w:pos="4680" w:leader="none"/>
          <w:tab w:val="right" w:pos="9360" w:leader="none"/>
        </w:tabs>
        <w:jc w:val="both"/>
        <w:rPr/>
      </w:pPr>
      <w:r>
        <w:rPr/>
        <w:tab/>
        <w:t>Complainants</w:t>
      </w:r>
    </w:p>
    <w:p>
      <w:pPr>
        <w:pStyle w:val="Normal"/>
        <w:tabs>
          <w:tab w:val="clear" w:pos="720"/>
          <w:tab w:val="left" w:pos="2340" w:leader="none"/>
          <w:tab w:val="left" w:pos="4680" w:leader="none"/>
          <w:tab w:val="right" w:pos="9360" w:leader="none"/>
        </w:tabs>
        <w:jc w:val="both"/>
        <w:rPr/>
      </w:pPr>
      <w:r>
        <w:rPr/>
      </w:r>
    </w:p>
    <w:p>
      <w:pPr>
        <w:pStyle w:val="Normal"/>
        <w:tabs>
          <w:tab w:val="clear" w:pos="720"/>
          <w:tab w:val="left" w:pos="1260" w:leader="none"/>
          <w:tab w:val="left" w:pos="4680" w:leader="none"/>
          <w:tab w:val="right" w:pos="9360" w:leader="none"/>
        </w:tabs>
        <w:jc w:val="both"/>
        <w:rPr/>
      </w:pPr>
      <w:r>
        <w:rPr/>
        <w:tab/>
        <w:t>v.</w:t>
        <w:tab/>
        <w:tab/>
        <w:t>Docket No. RP01-484-000</w:t>
      </w:r>
    </w:p>
    <w:p>
      <w:pPr>
        <w:pStyle w:val="Normal"/>
        <w:tabs>
          <w:tab w:val="clear" w:pos="720"/>
          <w:tab w:val="left" w:pos="1260" w:leader="none"/>
          <w:tab w:val="left" w:pos="4680" w:leader="none"/>
          <w:tab w:val="right" w:pos="9360" w:leader="none"/>
        </w:tabs>
        <w:jc w:val="both"/>
        <w:rPr/>
      </w:pPr>
      <w:r>
        <w:rPr/>
      </w:r>
    </w:p>
    <w:p>
      <w:pPr>
        <w:pStyle w:val="Normal"/>
        <w:tabs>
          <w:tab w:val="clear" w:pos="720"/>
          <w:tab w:val="left" w:pos="1260" w:leader="none"/>
          <w:tab w:val="left" w:pos="4680" w:leader="none"/>
          <w:tab w:val="right" w:pos="9360" w:leader="none"/>
        </w:tabs>
        <w:jc w:val="both"/>
        <w:rPr/>
      </w:pPr>
      <w:r>
        <w:rPr/>
        <w:t>El Paso Natural Gas Company</w:t>
      </w:r>
    </w:p>
    <w:p>
      <w:pPr>
        <w:pStyle w:val="Normal"/>
        <w:tabs>
          <w:tab w:val="clear" w:pos="720"/>
          <w:tab w:val="left" w:pos="2340" w:leader="none"/>
          <w:tab w:val="left" w:pos="4680" w:leader="none"/>
          <w:tab w:val="right" w:pos="9360" w:leader="none"/>
        </w:tabs>
        <w:jc w:val="both"/>
        <w:rPr/>
      </w:pPr>
      <w:r>
        <w:rPr/>
        <w:tab/>
        <w:t>Respondent</w:t>
      </w:r>
    </w:p>
    <w:p>
      <w:pPr>
        <w:pStyle w:val="Normal"/>
        <w:tabs>
          <w:tab w:val="clear" w:pos="720"/>
          <w:tab w:val="left" w:pos="1440" w:leader="none"/>
          <w:tab w:val="left" w:pos="4320" w:leader="none"/>
          <w:tab w:val="left" w:pos="5040" w:leader="none"/>
        </w:tabs>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t>COMMENTS AND MOTION OF</w:t>
      </w:r>
    </w:p>
    <w:p>
      <w:pPr>
        <w:pStyle w:val="Normal"/>
        <w:tabs>
          <w:tab w:val="clear" w:pos="720"/>
          <w:tab w:val="left" w:pos="1440" w:leader="none"/>
          <w:tab w:val="left" w:pos="4320" w:leader="none"/>
          <w:tab w:val="left" w:pos="5040" w:leader="none"/>
        </w:tabs>
        <w:jc w:val="center"/>
        <w:rPr/>
      </w:pPr>
      <w:r>
        <w:rPr/>
        <w:t>ENRON CORP.</w:t>
      </w:r>
    </w:p>
    <w:p>
      <w:pPr>
        <w:pStyle w:val="Normal"/>
        <w:tabs>
          <w:tab w:val="clear" w:pos="720"/>
          <w:tab w:val="left" w:pos="1440" w:leader="none"/>
          <w:tab w:val="left" w:pos="4320" w:leader="none"/>
          <w:tab w:val="left" w:pos="5040" w:leader="none"/>
        </w:tabs>
        <w:jc w:val="center"/>
        <w:rPr/>
      </w:pPr>
      <w:r>
        <w:rPr/>
        <w:t>FOR LEAVE TO INTERVENE</w:t>
      </w:r>
    </w:p>
    <w:p>
      <w:pPr>
        <w:pStyle w:val="Normal"/>
        <w:tabs>
          <w:tab w:val="clear" w:pos="720"/>
          <w:tab w:val="left" w:pos="1440" w:leader="none"/>
          <w:tab w:val="left" w:pos="4320" w:leader="none"/>
          <w:tab w:val="left" w:pos="5040" w:leader="none"/>
        </w:tabs>
        <w:spacing w:lineRule="auto" w:line="480"/>
        <w:jc w:val="both"/>
        <w:rPr/>
      </w:pPr>
      <w:r>
        <w:rPr/>
      </w:r>
    </w:p>
    <w:p>
      <w:pPr>
        <w:pStyle w:val="Normal"/>
        <w:tabs>
          <w:tab w:val="clear" w:pos="720"/>
          <w:tab w:val="left" w:pos="1440" w:leader="none"/>
          <w:tab w:val="left" w:pos="4320" w:leader="none"/>
          <w:tab w:val="left" w:pos="5040" w:leader="none"/>
        </w:tabs>
        <w:spacing w:lineRule="auto" w:line="480"/>
        <w:ind w:firstLine="1440" w:end="0"/>
        <w:jc w:val="both"/>
        <w:rPr/>
      </w:pPr>
      <w:r>
        <w:rPr/>
        <w:t>Pursuant to Rule 214 of the Federal Energy Regulatory Commission's (“Commission”) Rules of Practice and Procedure, 18 C.F.R. §385.214, Enron Corp. (“Enron”) hereby respectfully moves for leave to intervene and files comments in the above-captioned proceeding.</w:t>
      </w:r>
    </w:p>
    <w:p>
      <w:pPr>
        <w:pStyle w:val="Normal"/>
        <w:tabs>
          <w:tab w:val="clear" w:pos="720"/>
          <w:tab w:val="left" w:pos="1440" w:leader="none"/>
          <w:tab w:val="left" w:pos="4320" w:leader="none"/>
          <w:tab w:val="left" w:pos="5040" w:leader="none"/>
        </w:tabs>
        <w:spacing w:lineRule="auto" w:line="480"/>
        <w:ind w:firstLine="1440" w:end="0"/>
        <w:jc w:val="both"/>
        <w:rPr/>
      </w:pPr>
      <w:r>
        <w:rPr/>
        <w:t>In support hereof, Enron states as follows:</w:t>
      </w:r>
    </w:p>
    <w:p>
      <w:pPr>
        <w:pStyle w:val="Normal"/>
        <w:tabs>
          <w:tab w:val="clear" w:pos="720"/>
          <w:tab w:val="left" w:pos="1440" w:leader="none"/>
          <w:tab w:val="left" w:pos="4320" w:leader="none"/>
          <w:tab w:val="left" w:pos="5040" w:leader="none"/>
        </w:tabs>
        <w:spacing w:lineRule="auto" w:line="480" w:before="120" w:after="0"/>
        <w:jc w:val="center"/>
        <w:rPr>
          <w:b/>
        </w:rPr>
      </w:pPr>
      <w:r>
        <w:rPr>
          <w:b/>
        </w:rPr>
        <w:t>I.</w:t>
      </w:r>
    </w:p>
    <w:p>
      <w:pPr>
        <w:pStyle w:val="Normal"/>
        <w:tabs>
          <w:tab w:val="clear" w:pos="720"/>
          <w:tab w:val="left" w:pos="1440" w:leader="none"/>
          <w:tab w:val="left" w:pos="4320" w:leader="none"/>
          <w:tab w:val="left" w:pos="5040" w:leader="none"/>
        </w:tabs>
        <w:spacing w:lineRule="auto" w:line="480"/>
        <w:ind w:firstLine="1440" w:end="0"/>
        <w:jc w:val="both"/>
        <w:rPr/>
      </w:pPr>
      <w:r>
        <w:rPr/>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ind w:firstLine="1440" w:end="0"/>
        <w:jc w:val="both"/>
        <w:rPr/>
      </w:pPr>
      <w:r>
        <w:rPr/>
      </w:r>
    </w:p>
    <w:p>
      <w:pPr>
        <w:pStyle w:val="Normal"/>
        <w:tabs>
          <w:tab w:val="left" w:pos="720" w:leader="none"/>
          <w:tab w:val="left" w:pos="3600" w:leader="none"/>
          <w:tab w:val="left" w:pos="4320" w:leader="none"/>
          <w:tab w:val="left" w:pos="5040" w:leader="none"/>
          <w:tab w:val="left" w:pos="5856" w:leader="none"/>
        </w:tabs>
        <w:jc w:val="both"/>
        <w:rPr/>
      </w:pPr>
      <w:r>
        <w:rPr/>
        <w:tab/>
        <w:t>Leslie J. Lawner</w:t>
        <w:tab/>
        <w:tab/>
        <w:tab/>
        <w:t>*Rebecca Cantrell</w:t>
      </w:r>
    </w:p>
    <w:p>
      <w:pPr>
        <w:pStyle w:val="Normal"/>
        <w:tabs>
          <w:tab w:val="left" w:pos="720" w:leader="none"/>
          <w:tab w:val="left" w:pos="3600" w:leader="none"/>
          <w:tab w:val="left" w:pos="4320" w:leader="none"/>
          <w:tab w:val="left" w:pos="5040" w:leader="none"/>
          <w:tab w:val="left" w:pos="5856" w:leader="none"/>
        </w:tabs>
        <w:jc w:val="both"/>
        <w:rPr/>
      </w:pPr>
      <w:r>
        <w:rPr/>
        <w:tab/>
        <w:t>Attorney for</w:t>
        <w:tab/>
        <w:tab/>
        <w:tab/>
        <w:t>Director, Federal Regulatory Affairs</w:t>
      </w:r>
    </w:p>
    <w:p>
      <w:pPr>
        <w:pStyle w:val="Normal"/>
        <w:tabs>
          <w:tab w:val="left" w:pos="720" w:leader="none"/>
          <w:tab w:val="left" w:pos="3600" w:leader="none"/>
          <w:tab w:val="left" w:pos="4320" w:leader="none"/>
          <w:tab w:val="left" w:pos="5040" w:leader="none"/>
          <w:tab w:val="left" w:pos="5856" w:leader="none"/>
        </w:tabs>
        <w:jc w:val="both"/>
        <w:rPr/>
      </w:pPr>
      <w:r>
        <w:rPr/>
        <w:tab/>
        <w:t>Enron Corp.</w:t>
        <w:tab/>
        <w:tab/>
        <w:tab/>
        <w:t>Enron Corp.</w:t>
      </w:r>
    </w:p>
    <w:p>
      <w:pPr>
        <w:pStyle w:val="Normal"/>
        <w:tabs>
          <w:tab w:val="left" w:pos="720" w:leader="none"/>
          <w:tab w:val="left" w:pos="3600" w:leader="none"/>
          <w:tab w:val="left" w:pos="4320" w:leader="none"/>
          <w:tab w:val="left" w:pos="5040" w:leader="none"/>
          <w:tab w:val="left" w:pos="5856" w:leader="none"/>
        </w:tabs>
        <w:jc w:val="both"/>
        <w:rPr/>
      </w:pPr>
      <w:r>
        <w:rPr/>
        <w:tab/>
        <w:t>712 N. Lea</w:t>
        <w:tab/>
        <w:tab/>
        <w:tab/>
        <w:t>P. O. Box 1188</w:t>
      </w:r>
    </w:p>
    <w:p>
      <w:pPr>
        <w:pStyle w:val="Normal"/>
        <w:tabs>
          <w:tab w:val="left" w:pos="720" w:leader="none"/>
          <w:tab w:val="left" w:pos="3600" w:leader="none"/>
          <w:tab w:val="left" w:pos="4320" w:leader="none"/>
          <w:tab w:val="left" w:pos="5040" w:leader="none"/>
          <w:tab w:val="left" w:pos="5856" w:leader="none"/>
        </w:tabs>
        <w:jc w:val="both"/>
        <w:rPr/>
      </w:pPr>
      <w:r>
        <w:rPr/>
        <w:tab/>
        <w:t>Roswell, New Mexico  88201</w:t>
        <w:tab/>
        <w:tab/>
        <w:tab/>
        <w:t>Houston, Texas  77251-1188</w:t>
      </w:r>
    </w:p>
    <w:p>
      <w:pPr>
        <w:pStyle w:val="Normal"/>
        <w:tabs>
          <w:tab w:val="left" w:pos="720" w:leader="none"/>
          <w:tab w:val="left" w:pos="3600" w:leader="none"/>
          <w:tab w:val="left" w:pos="4320" w:leader="none"/>
          <w:tab w:val="left" w:pos="5040" w:leader="none"/>
          <w:tab w:val="left" w:pos="5856" w:leader="none"/>
        </w:tabs>
        <w:jc w:val="both"/>
        <w:rPr/>
      </w:pPr>
      <w:r>
        <w:rPr/>
        <w:tab/>
        <w:t>(505) 623-6778</w:t>
        <w:tab/>
        <w:tab/>
        <w:tab/>
        <w:t>(713) 853-5840</w:t>
      </w:r>
    </w:p>
    <w:p>
      <w:pPr>
        <w:pStyle w:val="Normal"/>
        <w:tabs>
          <w:tab w:val="left" w:pos="720" w:leader="none"/>
          <w:tab w:val="left" w:pos="3600" w:leader="none"/>
          <w:tab w:val="left" w:pos="4320" w:leader="none"/>
          <w:tab w:val="left" w:pos="5040" w:leader="none"/>
          <w:tab w:val="left" w:pos="5856" w:leader="none"/>
        </w:tabs>
        <w:jc w:val="both"/>
        <w:rPr/>
      </w:pPr>
      <w:r>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pPr>
      <w:r>
        <w:rPr/>
        <w:tab/>
        <w:tab/>
        <w:tab/>
        <w:tab/>
      </w:r>
      <w:hyperlink r:id="rId2">
        <w:r>
          <w:rPr>
            <w:rStyle w:val="Hyperlink"/>
          </w:rPr>
          <w:t>Rebecca.W.Cantrell@enron.com</w:t>
        </w:r>
      </w:hyperlink>
    </w:p>
    <w:p>
      <w:pPr>
        <w:pStyle w:val="Normal"/>
        <w:tabs>
          <w:tab w:val="left" w:pos="720" w:leader="none"/>
          <w:tab w:val="left" w:pos="3600" w:leader="none"/>
          <w:tab w:val="left" w:pos="4320" w:leader="none"/>
          <w:tab w:val="left" w:pos="5040" w:leader="none"/>
          <w:tab w:val="left" w:pos="5856" w:leader="none"/>
        </w:tabs>
        <w:ind w:firstLine="1440" w:end="0"/>
        <w:jc w:val="both"/>
        <w:rPr/>
      </w:pPr>
      <w:r>
        <w:rPr/>
      </w:r>
    </w:p>
    <w:p>
      <w:pPr>
        <w:pStyle w:val="Normal"/>
        <w:tabs>
          <w:tab w:val="left" w:pos="720" w:leader="none"/>
          <w:tab w:val="left" w:pos="3600" w:leader="none"/>
          <w:tab w:val="left" w:pos="4320" w:leader="none"/>
          <w:tab w:val="left" w:pos="5040" w:leader="none"/>
          <w:tab w:val="left" w:pos="5856" w:leader="none"/>
        </w:tabs>
        <w:ind w:firstLine="1440" w:end="0"/>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rPr>
      </w:pPr>
      <w:r>
        <w:rPr>
          <w:b/>
        </w:rPr>
        <w:t>II.</w:t>
      </w:r>
    </w:p>
    <w:p>
      <w:pPr>
        <w:pStyle w:val="Normal"/>
        <w:widowControl w:val="false"/>
        <w:tabs>
          <w:tab w:val="clear" w:pos="720"/>
          <w:tab w:val="left" w:pos="0" w:leader="none"/>
          <w:tab w:val="left" w:pos="9360" w:leader="none"/>
        </w:tabs>
        <w:spacing w:lineRule="auto" w:line="480"/>
        <w:ind w:firstLine="1440" w:end="0"/>
        <w:jc w:val="both"/>
        <w:rPr/>
      </w:pPr>
      <w:r>
        <w:rPr/>
        <w:t xml:space="preserve">Through its subsidiaries, Enron Corp. is a major provider of natural gas and electric power to wholesale, industrial, and commercial retail markets in the United States and offers a broad range of energy products, capital, technology and related service capabilities.  </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rPr>
      </w:pPr>
      <w:r>
        <w:rPr>
          <w:b/>
        </w:rPr>
        <w:t>III.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On July 13, 2001, the Complainants filed a complaint under Section 5 of the Natural Gas Act against El Paso Natural Gas Company (“El Paso”).  Enron subsidiaries are marketers of natural gas on El Paso’s system and have transportation agreements on El Paso, and so Enron has an interest which may be directly affected by the outcome in these proceedings.  Moreover, Enron’s interests cannot be adequately represented by any other party to these proceedings, and Enron’s participation in these proceedings will be in the public interest.</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bCs/>
        </w:rPr>
      </w:pPr>
      <w:r>
        <w:rPr>
          <w:b/>
          <w:bCs/>
        </w:rPr>
        <w:t>IV.</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Complainants allege that El Paso’s over-selling of firm capacity in conjunction with unlimited growth of demands by its “full requirements”(“FR”) customers results in firm contract demand (“CD”) shippers on El Paso’s system paying for firm services that they are not receiving.  This situation also results in scheduling uncertainty for gas deliveries to the California border.  The complainants assert that the services El Paso is providing them are therefore unjust, unreasonable and unduly discriminatory, in violation of Sections 5 and 7 of the Natural Gas Act, the Commission’s regulations thereunder, and El Paso’s obligations under the 1996 rate case settlement.  Complainants seek a three-part remedy from the Commission:  (1) conversion of FR contracts to CD contracts with reasonable CD levels; (2) expansion of El Paso’s system immediately to meet its existing firm shippers’ transportation rights; and (3) a prohibition on El Paso collecting transportation demand charges for firm service it is unable to provide, until such time as it can show that it is capable of meeting its firm service obligations.</w:t>
      </w:r>
    </w:p>
    <w:p>
      <w:pPr>
        <w:pStyle w:val="Heading1"/>
        <w:ind w:hanging="0" w:start="0"/>
        <w:rPr/>
      </w:pPr>
      <w:r>
        <w:rPr>
          <w:rPrChange w:id="0" w:author="Unknown" w:date="2001-08-01T16:36:00Z"/>
        </w:rPr>
        <w:t xml:space="preserve">A.  </w:t>
      </w:r>
      <w:r>
        <w:rPr>
          <w:rPrChange w:id="0" w:author="Unknown" w:date="0-00-00T00:00:00Z"/>
        </w:rPr>
        <w:t>The Full Requirements Contracts Present A Barrier to Retail Competition.</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Enron Energy Services, Inc. (“EES”) an Enron subsidiary, has a number of retail end use customers in Arizona and Nevada, served by Southwest Gas Company, a local distribution company with operations in Arizona, Nevada and California.  Southwest Gas is also a full requirements customer of El Paso.  Even though EES obtained firm capacity through capacity release transactions on El Paso, with primary firm delivery rights into California, EES was unable to successfully use those rights to drop gas off at Southwest Gas delivery points in Arizona and Nevada.  Gas EES attempted to schedule at those delivery points on a secondary firm basis was bumped, apparently because the capacity was needed to take gas to the California border, even though EES had not scheduled it to the border.  This seemingly was the result of excess demand at the border, and the overselling of capacity at those delivery points.  However, the east of California situation was clearly not one where capacity was an issue, since Southwest Gas was able to increase its scheduled volumes at its delivery points into Arizona and Nevada, and to meet, through imbalance service, the demand of the transportation customers who were unable to schedule gas into their delivery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 xml:space="preserve">The transportation program on Southwest Gas allows customers with average monthly usage of 15,000 therms to purchase gas in the open market and to have that gas transported through the local distribution company.  Unfortunately, Southwest Gas’ full requirements contract on El Paso prevents those customers from obtaining firm rights to get the gas through the El Paso meter into the Southwest Gas system.  When EES experienced problems in delivering its gas to Southwest customers, Southwest claimed that it (Southwest) did not prevent the scheduling of that gas off of El Paso.  However, El Paso informed EES that Southwest’s nominations at those points prevented El Paso from confirming its nominations into Southwest.  The upshot of all this is that there is physical capacity available at the applicable delivery points for the transportation customers (as demonstrated by the fact that Southwest Gas was able to compensate for the shippers’ inability to deliver adequate volumes of gas in the months of November 2000 through April of 2001), but the existence of the full requirements contract at those points means that shippers are </w:t>
      </w:r>
      <w:r>
        <w:rPr>
          <w:i/>
          <w:iCs/>
        </w:rPr>
        <w:t>contractually</w:t>
      </w:r>
      <w:r>
        <w:rPr/>
        <w:t xml:space="preserve"> unable to obtain firm capacity necessary to meet their needs.  And on the Southwest system, the imbalances the shippers incurred, which exceeded $24 million for this six-month period of time, were far in excess of the actual cost of gas and transportation because, at least for part of the time, Southwest Gas used the California border price as the cash out price for all of the imbalance volumes, even though it only paid that price for a small portion of the imbalance gas.</w:t>
      </w:r>
      <w:r>
        <w:rPr>
          <w:rStyle w:val="FootnoteCharacters"/>
          <w:rStyle w:val="FootnoteReference"/>
        </w:rPr>
        <w:footnoteReference w:id="2"/>
      </w:r>
      <w:r>
        <w:rPr/>
        <w:t xml:space="preserve">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Whatever other harm complainants have alleged as growing out of the full requirements contracts, Enron would add to that list the fact that the full requirements contracts stand as a barrier to open access service to customers served by the LDCs with those contracts.  Unlike the usual situation where the LDC has established a firm contract demand at its delivery points, meaning that capacity over that demand can be contracted for by other shippers, there can be no excess capacity under a full requirements contract, and shippers are precluded from obtaining primary firm rights on the pipeline to those points.  Thus, Enron requests that the Commission consider the harm that the full requirements contracts cause to open access, competitive markets in the east of California area served by El Paso, and restructure those contracts so that other parties can obtain firm rights through those points.</w:t>
      </w:r>
    </w:p>
    <w:p>
      <w:pPr>
        <w:pStyle w:val="BodyText"/>
        <w:rPr/>
      </w:pPr>
      <w:r>
        <w:rPr/>
        <w:t>B.  El Paso Should Be Required to Allow Shippers to Turn Back Capacity in Addition to Pipeline Expansions as a Way to Enhance System Reliability.</w:t>
      </w:r>
    </w:p>
    <w:p>
      <w:pPr>
        <w:pStyle w:val="BodyText"/>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 xml:space="preserve">Enron subsidiaries are firm shippers on El Paso’s system, and Enron North America Corp. (“ENA”) has more than 250,000 MMBtu per day of firm capacity contracted directly with El Paso.  ENA also purchases capacity through the secondary capacity release market.  ENA has experienced, and continues to experience, significant difficulties in scheduling volumes and making deliveries of gas to its El Paso markets, even though it has firm rights on the system.  As a result, ENA has incurred significant losses in stranded demand charges.  </w:t>
      </w:r>
    </w:p>
    <w:p>
      <w:pPr>
        <w:pStyle w:val="Normal"/>
        <w:keepNext w:val="true"/>
        <w:keepLines/>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There are clearly problems on El Paso’s system, and the over subscription to firm capacity and the existence of the full requirements contracts for certain East of California customers are certainly major contributors to the problems that shippers on El Paso face daily.  In addition to the solutions proffered by Joint Complainants, Enron submits that the Commission should require El Paso to offer existing CD shippers an opportunity to turn back the capacity they currently hold.  Any turned-back capacity should be utilized to satisfy El Paso’s existing contractual obligations.</w:t>
      </w:r>
    </w:p>
    <w:p>
      <w:pPr>
        <w:pStyle w:val="Normal"/>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ind w:firstLine="1440" w:end="0"/>
        <w:jc w:val="both"/>
        <w:rPr/>
      </w:pPr>
      <w:r>
        <w:rPr/>
        <w:t>WHEREFORE, for the reasons set forth herein, Enron respectfully moves to intervene in the above-captioned proceeding, requests that it be accorded all rights as a full party to such proceeding, and requests that its comments be considered in any Commission action or order in this proceeding.</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sectPr>
          <w:headerReference w:type="default" r:id="rId3"/>
          <w:headerReference w:type="first" r:id="rId4"/>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August 2,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16"/>
          <w:u w:val="single"/>
        </w:rPr>
      </w:pPr>
      <w:r>
        <w:rPr>
          <w:sz w:val="16"/>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ind w:firstLine="1440" w:end="0"/>
        <w:jc w:val="both"/>
        <w:rPr/>
      </w:pPr>
      <w:r>
        <w:rPr/>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ind w:firstLine="1440" w:end="0"/>
        <w:jc w:val="both"/>
        <w:rPr/>
      </w:pPr>
      <w:r>
        <w:rPr/>
        <w:t>Dated this 2nd day of August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rPr/>
      </w:pPr>
      <w:r>
        <w:rPr/>
      </w:r>
    </w:p>
    <w:sectPr>
      <w:headerReference w:type="default" r:id="rId5"/>
      <w:headerReference w:type="first" r:id="rId6"/>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EES is contesting these imbalance charges and the terms of the Southwest Gas transportation program in a proceeding pending at the Arizona Corporation Commission.  We have proposed several ways to get around the full requirements contract and the difficulties it poses to shippers, but the Arizona Corporation Commission staff and Southwest Gas are not willing to consider these options.  They are also not willing to give up the benefits of the full requirements service as it results in lower costs to the residential and small commercial customers.  EES feels that the best solution to the transportation problems on Southwest Gas is therefore to restructure the full requirements contract.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RP01-484-000</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4</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sz w:val="22"/>
      </w:rPr>
      <w:t>Docket No. RP01-484-000</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0</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outlineLvl w:val="0"/>
    </w:pPr>
    <w:rPr>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3600" w:leader="none"/>
        <w:tab w:val="left" w:pos="4320" w:leader="none"/>
        <w:tab w:val="left" w:pos="5040" w:leader="none"/>
        <w:tab w:val="left" w:pos="5856" w:leader="none"/>
      </w:tabs>
      <w:spacing w:before="120" w:after="0"/>
      <w:jc w:val="both"/>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N)" w:hAnsi="CG Times (WN)" w:cs="CG Times (WN)"/>
      <w:sz w:val="20"/>
      <w:szCs w:val="20"/>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2001-08-01T21:01:00Z</dcterms:created>
  <dc:creator>llawner</dc:creator>
  <dc:description/>
  <dc:language>en-CA</dc:language>
  <cp:lastModifiedBy>Rebecca W. Cantrell</cp:lastModifiedBy>
  <cp:lastPrinted>2001-08-01T18:09:00Z</cp:lastPrinted>
  <dcterms:modified xsi:type="dcterms:W3CDTF">2001-08-01T21:01:00Z</dcterms:modified>
  <cp:revision>2</cp:revision>
  <dc:subject/>
  <dc:title>IN THE</dc:title>
</cp:coreProperties>
</file>