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pPr>
      <w:r>
        <w:rPr/>
        <w:t>IN THE</w:t>
      </w:r>
    </w:p>
    <w:p>
      <w:pPr>
        <w:pStyle w:val="Normal"/>
        <w:tabs>
          <w:tab w:val="clear" w:pos="720"/>
          <w:tab w:val="left" w:pos="1440" w:leader="none"/>
          <w:tab w:val="left" w:pos="4320" w:leader="none"/>
          <w:tab w:val="left" w:pos="5040" w:leader="none"/>
        </w:tabs>
        <w:jc w:val="center"/>
        <w:rPr/>
      </w:pPr>
      <w:r>
        <w:rPr/>
        <w:t>UNITED STATES OF AMERICA</w:t>
      </w:r>
    </w:p>
    <w:p>
      <w:pPr>
        <w:pStyle w:val="Normal"/>
        <w:tabs>
          <w:tab w:val="clear" w:pos="720"/>
          <w:tab w:val="left" w:pos="1440" w:leader="none"/>
          <w:tab w:val="left" w:pos="4320" w:leader="none"/>
          <w:tab w:val="left" w:pos="5040" w:leader="none"/>
        </w:tabs>
        <w:jc w:val="center"/>
        <w:rPr/>
      </w:pPr>
      <w:r>
        <w:rPr/>
        <w:t>FEDERAL ENERGY REGULATORY COMMISSION</w:t>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680" w:leader="none"/>
          <w:tab w:val="right" w:pos="9360" w:leader="none"/>
        </w:tabs>
        <w:jc w:val="both"/>
        <w:rPr/>
      </w:pPr>
      <w:r>
        <w:rPr/>
        <w:t>Aera Energy LLC, Amoco Production</w:t>
      </w:r>
    </w:p>
    <w:p>
      <w:pPr>
        <w:pStyle w:val="Normal"/>
        <w:tabs>
          <w:tab w:val="clear" w:pos="720"/>
          <w:tab w:val="left" w:pos="1440" w:leader="none"/>
          <w:tab w:val="left" w:pos="4680" w:leader="none"/>
          <w:tab w:val="right" w:pos="9360" w:leader="none"/>
        </w:tabs>
        <w:jc w:val="both"/>
        <w:rPr/>
      </w:pPr>
      <w:r>
        <w:rPr/>
        <w:t>Company, BP Energy Company,</w:t>
      </w:r>
    </w:p>
    <w:p>
      <w:pPr>
        <w:pStyle w:val="Normal"/>
        <w:tabs>
          <w:tab w:val="clear" w:pos="720"/>
          <w:tab w:val="left" w:pos="1440" w:leader="none"/>
          <w:tab w:val="left" w:pos="4680" w:leader="none"/>
          <w:tab w:val="right" w:pos="9360" w:leader="none"/>
        </w:tabs>
        <w:jc w:val="both"/>
        <w:rPr/>
      </w:pPr>
      <w:r>
        <w:rPr/>
        <w:t>Burlington Resources Oil &amp; Gas Company LP,</w:t>
      </w:r>
    </w:p>
    <w:p>
      <w:pPr>
        <w:pStyle w:val="Normal"/>
        <w:tabs>
          <w:tab w:val="clear" w:pos="720"/>
          <w:tab w:val="left" w:pos="1440" w:leader="none"/>
          <w:tab w:val="left" w:pos="4680" w:leader="none"/>
          <w:tab w:val="right" w:pos="9360" w:leader="none"/>
        </w:tabs>
        <w:jc w:val="both"/>
        <w:rPr/>
      </w:pPr>
      <w:r>
        <w:rPr/>
        <w:t>Conoco Inc., Coral Energy Resources, LP,</w:t>
      </w:r>
    </w:p>
    <w:p>
      <w:pPr>
        <w:pStyle w:val="Normal"/>
        <w:tabs>
          <w:tab w:val="clear" w:pos="720"/>
          <w:tab w:val="left" w:pos="1440" w:leader="none"/>
          <w:tab w:val="left" w:pos="4680" w:leader="none"/>
          <w:tab w:val="right" w:pos="9360" w:leader="none"/>
        </w:tabs>
        <w:jc w:val="both"/>
        <w:rPr/>
      </w:pPr>
      <w:r>
        <w:rPr/>
        <w:t>ONEOK Energy Marketing &amp; Trading Company,</w:t>
      </w:r>
    </w:p>
    <w:p>
      <w:pPr>
        <w:pStyle w:val="Normal"/>
        <w:tabs>
          <w:tab w:val="clear" w:pos="720"/>
          <w:tab w:val="left" w:pos="1440" w:leader="none"/>
          <w:tab w:val="left" w:pos="4680" w:leader="none"/>
          <w:tab w:val="right" w:pos="9360" w:leader="none"/>
        </w:tabs>
        <w:jc w:val="both"/>
        <w:rPr/>
      </w:pPr>
      <w:r>
        <w:rPr/>
        <w:t xml:space="preserve">L.P., Pacific Gas and Electric Company, </w:t>
      </w:r>
    </w:p>
    <w:p>
      <w:pPr>
        <w:pStyle w:val="Normal"/>
        <w:tabs>
          <w:tab w:val="clear" w:pos="720"/>
          <w:tab w:val="left" w:pos="1440" w:leader="none"/>
          <w:tab w:val="left" w:pos="4680" w:leader="none"/>
          <w:tab w:val="right" w:pos="9360" w:leader="none"/>
        </w:tabs>
        <w:jc w:val="both"/>
        <w:rPr/>
      </w:pPr>
      <w:r>
        <w:rPr/>
        <w:t>Panda Gila River L.P., Public Utilities</w:t>
      </w:r>
    </w:p>
    <w:p>
      <w:pPr>
        <w:pStyle w:val="Normal"/>
        <w:tabs>
          <w:tab w:val="clear" w:pos="720"/>
          <w:tab w:val="left" w:pos="1440" w:leader="none"/>
          <w:tab w:val="left" w:pos="4680" w:leader="none"/>
          <w:tab w:val="right" w:pos="9360" w:leader="none"/>
        </w:tabs>
        <w:jc w:val="both"/>
        <w:rPr/>
      </w:pPr>
      <w:r>
        <w:rPr/>
        <w:t>Commission of the State of California,</w:t>
      </w:r>
    </w:p>
    <w:p>
      <w:pPr>
        <w:pStyle w:val="Normal"/>
        <w:tabs>
          <w:tab w:val="clear" w:pos="720"/>
          <w:tab w:val="left" w:pos="1440" w:leader="none"/>
          <w:tab w:val="left" w:pos="4680" w:leader="none"/>
          <w:tab w:val="right" w:pos="9360" w:leader="none"/>
        </w:tabs>
        <w:jc w:val="both"/>
        <w:rPr/>
      </w:pPr>
      <w:r>
        <w:rPr/>
        <w:t>Southern California Edison Company,</w:t>
      </w:r>
    </w:p>
    <w:p>
      <w:pPr>
        <w:pStyle w:val="Normal"/>
        <w:tabs>
          <w:tab w:val="clear" w:pos="720"/>
          <w:tab w:val="left" w:pos="1440" w:leader="none"/>
          <w:tab w:val="left" w:pos="4680" w:leader="none"/>
          <w:tab w:val="right" w:pos="9360" w:leader="none"/>
        </w:tabs>
        <w:jc w:val="both"/>
        <w:rPr/>
      </w:pPr>
      <w:r>
        <w:rPr/>
        <w:t>Southern California Gas Company and Texaco</w:t>
      </w:r>
    </w:p>
    <w:p>
      <w:pPr>
        <w:pStyle w:val="Normal"/>
        <w:tabs>
          <w:tab w:val="clear" w:pos="720"/>
          <w:tab w:val="left" w:pos="1440" w:leader="none"/>
          <w:tab w:val="left" w:pos="4680" w:leader="none"/>
          <w:tab w:val="right" w:pos="9360" w:leader="none"/>
        </w:tabs>
        <w:jc w:val="both"/>
        <w:rPr/>
      </w:pPr>
      <w:r>
        <w:rPr/>
        <w:t>Natural Gas Inc.</w:t>
      </w:r>
    </w:p>
    <w:p>
      <w:pPr>
        <w:pStyle w:val="Normal"/>
        <w:tabs>
          <w:tab w:val="clear" w:pos="720"/>
          <w:tab w:val="left" w:pos="2340" w:leader="none"/>
          <w:tab w:val="left" w:pos="4680" w:leader="none"/>
          <w:tab w:val="right" w:pos="9360" w:leader="none"/>
        </w:tabs>
        <w:jc w:val="both"/>
        <w:rPr/>
      </w:pPr>
      <w:r>
        <w:rPr/>
        <w:tab/>
        <w:t>Complainants</w:t>
      </w:r>
    </w:p>
    <w:p>
      <w:pPr>
        <w:pStyle w:val="Normal"/>
        <w:tabs>
          <w:tab w:val="clear" w:pos="720"/>
          <w:tab w:val="left" w:pos="2340" w:leader="none"/>
          <w:tab w:val="left" w:pos="4680" w:leader="none"/>
          <w:tab w:val="right" w:pos="9360" w:leader="none"/>
        </w:tabs>
        <w:jc w:val="both"/>
        <w:rPr/>
      </w:pPr>
      <w:r>
        <w:rPr/>
      </w:r>
    </w:p>
    <w:p>
      <w:pPr>
        <w:pStyle w:val="Normal"/>
        <w:tabs>
          <w:tab w:val="clear" w:pos="720"/>
          <w:tab w:val="left" w:pos="1260" w:leader="none"/>
          <w:tab w:val="left" w:pos="4680" w:leader="none"/>
          <w:tab w:val="right" w:pos="9360" w:leader="none"/>
        </w:tabs>
        <w:jc w:val="both"/>
        <w:rPr/>
      </w:pPr>
      <w:r>
        <w:rPr/>
        <w:tab/>
        <w:t>v.</w:t>
        <w:tab/>
        <w:tab/>
        <w:t>Docket No. RP01-484-000</w:t>
      </w:r>
    </w:p>
    <w:p>
      <w:pPr>
        <w:pStyle w:val="Normal"/>
        <w:tabs>
          <w:tab w:val="clear" w:pos="720"/>
          <w:tab w:val="left" w:pos="1260" w:leader="none"/>
          <w:tab w:val="left" w:pos="4680" w:leader="none"/>
          <w:tab w:val="right" w:pos="9360" w:leader="none"/>
        </w:tabs>
        <w:jc w:val="both"/>
        <w:rPr/>
      </w:pPr>
      <w:r>
        <w:rPr/>
      </w:r>
    </w:p>
    <w:p>
      <w:pPr>
        <w:pStyle w:val="Normal"/>
        <w:tabs>
          <w:tab w:val="clear" w:pos="720"/>
          <w:tab w:val="left" w:pos="1260" w:leader="none"/>
          <w:tab w:val="left" w:pos="4680" w:leader="none"/>
          <w:tab w:val="right" w:pos="9360" w:leader="none"/>
        </w:tabs>
        <w:jc w:val="both"/>
        <w:rPr/>
      </w:pPr>
      <w:r>
        <w:rPr/>
        <w:t>El Paso Natural Gas Company</w:t>
      </w:r>
    </w:p>
    <w:p>
      <w:pPr>
        <w:pStyle w:val="Normal"/>
        <w:tabs>
          <w:tab w:val="clear" w:pos="720"/>
          <w:tab w:val="left" w:pos="2340" w:leader="none"/>
          <w:tab w:val="left" w:pos="4680" w:leader="none"/>
          <w:tab w:val="right" w:pos="9360" w:leader="none"/>
        </w:tabs>
        <w:jc w:val="both"/>
        <w:rPr/>
      </w:pPr>
      <w:r>
        <w:rPr/>
        <w:tab/>
        <w:t>Respondent</w:t>
      </w:r>
    </w:p>
    <w:p>
      <w:pPr>
        <w:pStyle w:val="Normal"/>
        <w:tabs>
          <w:tab w:val="clear" w:pos="720"/>
          <w:tab w:val="left" w:pos="1440" w:leader="none"/>
          <w:tab w:val="left" w:pos="4320" w:leader="none"/>
          <w:tab w:val="left" w:pos="5040" w:leader="none"/>
        </w:tabs>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r>
    </w:p>
    <w:p>
      <w:pPr>
        <w:pStyle w:val="Normal"/>
        <w:tabs>
          <w:tab w:val="clear" w:pos="720"/>
          <w:tab w:val="left" w:pos="1440" w:leader="none"/>
          <w:tab w:val="left" w:pos="4320" w:leader="none"/>
          <w:tab w:val="left" w:pos="5040" w:leader="none"/>
        </w:tabs>
        <w:jc w:val="center"/>
        <w:rPr/>
      </w:pPr>
      <w:r>
        <w:rPr/>
        <w:t>COMMENTS AND</w:t>
      </w:r>
    </w:p>
    <w:p>
      <w:pPr>
        <w:pStyle w:val="Normal"/>
        <w:tabs>
          <w:tab w:val="clear" w:pos="720"/>
          <w:tab w:val="left" w:pos="1440" w:leader="none"/>
          <w:tab w:val="left" w:pos="4320" w:leader="none"/>
          <w:tab w:val="left" w:pos="5040" w:leader="none"/>
        </w:tabs>
        <w:jc w:val="center"/>
        <w:rPr/>
      </w:pPr>
      <w:r>
        <w:rPr/>
        <w:t>MOTION OF ENRON NORTH AMERICA CORP. AND</w:t>
      </w:r>
    </w:p>
    <w:p>
      <w:pPr>
        <w:pStyle w:val="Normal"/>
        <w:tabs>
          <w:tab w:val="clear" w:pos="720"/>
          <w:tab w:val="left" w:pos="1440" w:leader="none"/>
          <w:tab w:val="left" w:pos="4320" w:leader="none"/>
          <w:tab w:val="left" w:pos="5040" w:leader="none"/>
        </w:tabs>
        <w:jc w:val="center"/>
        <w:rPr/>
      </w:pPr>
      <w:r>
        <w:rPr/>
        <w:t>ENRON ENERGY SERVICES, INC</w:t>
      </w:r>
    </w:p>
    <w:p>
      <w:pPr>
        <w:pStyle w:val="Normal"/>
        <w:tabs>
          <w:tab w:val="clear" w:pos="720"/>
          <w:tab w:val="left" w:pos="1440" w:leader="none"/>
          <w:tab w:val="left" w:pos="4320" w:leader="none"/>
          <w:tab w:val="left" w:pos="5040" w:leader="none"/>
        </w:tabs>
        <w:jc w:val="center"/>
        <w:rPr/>
      </w:pPr>
      <w:r>
        <w:rPr/>
        <w:t xml:space="preserve"> </w:t>
      </w:r>
      <w:r>
        <w:rPr/>
        <w:t>FOR LEAVE TO INTERVENE</w:t>
      </w:r>
    </w:p>
    <w:p>
      <w:pPr>
        <w:pStyle w:val="Normal"/>
        <w:tabs>
          <w:tab w:val="clear" w:pos="720"/>
          <w:tab w:val="left" w:pos="1440" w:leader="none"/>
          <w:tab w:val="left" w:pos="4320" w:leader="none"/>
          <w:tab w:val="left" w:pos="5040" w:leader="none"/>
        </w:tabs>
        <w:spacing w:lineRule="auto" w:line="480"/>
        <w:jc w:val="both"/>
        <w:rPr/>
      </w:pPr>
      <w:r>
        <w:rPr/>
      </w:r>
    </w:p>
    <w:p>
      <w:pPr>
        <w:pStyle w:val="Normal"/>
        <w:tabs>
          <w:tab w:val="clear" w:pos="720"/>
          <w:tab w:val="left" w:pos="1440" w:leader="none"/>
          <w:tab w:val="left" w:pos="4320" w:leader="none"/>
          <w:tab w:val="left" w:pos="5040" w:leader="none"/>
        </w:tabs>
        <w:spacing w:lineRule="auto" w:line="480"/>
        <w:ind w:firstLine="1440" w:end="0"/>
        <w:jc w:val="both"/>
        <w:rPr/>
      </w:pPr>
      <w:r>
        <w:rPr/>
        <w:t>Pursuant to Rule 214 of the Federal Energy Regulatory Commission's (“Commission”) Rules of Practice and Procedure, 18 C.F.R. §385.214, Enron North America Corp. ("ENA") and Enron Energy Services, Inc. (“EES”) hereby respectfully move for leave to intervene and file comments in the above-captioned proceeding.</w:t>
      </w:r>
    </w:p>
    <w:p>
      <w:pPr>
        <w:pStyle w:val="Normal"/>
        <w:tabs>
          <w:tab w:val="clear" w:pos="720"/>
          <w:tab w:val="left" w:pos="1440" w:leader="none"/>
          <w:tab w:val="left" w:pos="4320" w:leader="none"/>
          <w:tab w:val="left" w:pos="5040" w:leader="none"/>
        </w:tabs>
        <w:spacing w:lineRule="auto" w:line="480"/>
        <w:ind w:firstLine="1440" w:end="0"/>
        <w:jc w:val="both"/>
        <w:rPr/>
      </w:pPr>
      <w:r>
        <w:rPr/>
        <w:t>In support hereof, ENA and EES state as follows:</w:t>
      </w:r>
    </w:p>
    <w:p>
      <w:pPr>
        <w:pStyle w:val="Normal"/>
        <w:tabs>
          <w:tab w:val="clear" w:pos="720"/>
          <w:tab w:val="left" w:pos="1440" w:leader="none"/>
          <w:tab w:val="left" w:pos="4320" w:leader="none"/>
          <w:tab w:val="left" w:pos="5040" w:leader="none"/>
        </w:tabs>
        <w:spacing w:lineRule="auto" w:line="480" w:before="120" w:after="0"/>
        <w:jc w:val="center"/>
        <w:rPr>
          <w:b/>
        </w:rPr>
      </w:pPr>
      <w:r>
        <w:rPr>
          <w:b/>
        </w:rPr>
        <w:t>I.</w:t>
      </w:r>
    </w:p>
    <w:p>
      <w:pPr>
        <w:pStyle w:val="Normal"/>
        <w:tabs>
          <w:tab w:val="clear" w:pos="720"/>
          <w:tab w:val="left" w:pos="1440" w:leader="none"/>
          <w:tab w:val="left" w:pos="4320" w:leader="none"/>
          <w:tab w:val="left" w:pos="5040" w:leader="none"/>
        </w:tabs>
        <w:spacing w:lineRule="auto" w:line="480"/>
        <w:ind w:firstLine="1440" w:end="0"/>
        <w:jc w:val="both"/>
        <w:rPr/>
      </w:pPr>
      <w:r>
        <w:rPr/>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ind w:firstLine="1440" w:end="0"/>
        <w:jc w:val="both"/>
        <w:rPr/>
      </w:pPr>
      <w:r>
        <w:rPr/>
      </w:r>
    </w:p>
    <w:p>
      <w:pPr>
        <w:pStyle w:val="Normal"/>
        <w:tabs>
          <w:tab w:val="left" w:pos="720" w:leader="none"/>
          <w:tab w:val="left" w:pos="3600" w:leader="none"/>
          <w:tab w:val="left" w:pos="4320" w:leader="none"/>
          <w:tab w:val="left" w:pos="5040" w:leader="none"/>
          <w:tab w:val="left" w:pos="5856" w:leader="none"/>
        </w:tabs>
        <w:jc w:val="both"/>
        <w:rPr/>
      </w:pPr>
      <w:r>
        <w:rPr/>
        <w:tab/>
        <w:t>Leslie J. Lawner</w:t>
        <w:tab/>
        <w:tab/>
        <w:tab/>
        <w:t>*Rebecca Cantrell</w:t>
      </w:r>
    </w:p>
    <w:p>
      <w:pPr>
        <w:pStyle w:val="Normal"/>
        <w:tabs>
          <w:tab w:val="left" w:pos="720" w:leader="none"/>
          <w:tab w:val="left" w:pos="3600" w:leader="none"/>
          <w:tab w:val="left" w:pos="4320" w:leader="none"/>
          <w:tab w:val="left" w:pos="5040" w:leader="none"/>
          <w:tab w:val="left" w:pos="5856" w:leader="none"/>
        </w:tabs>
        <w:jc w:val="both"/>
        <w:rPr/>
      </w:pPr>
      <w:r>
        <w:rPr/>
        <w:tab/>
        <w:t>Attorney for</w:t>
        <w:tab/>
        <w:tab/>
        <w:tab/>
        <w:t>Director, Federal Regulatory Affairs</w:t>
      </w:r>
    </w:p>
    <w:p>
      <w:pPr>
        <w:pStyle w:val="Normal"/>
        <w:tabs>
          <w:tab w:val="left" w:pos="720" w:leader="none"/>
          <w:tab w:val="left" w:pos="3600" w:leader="none"/>
          <w:tab w:val="left" w:pos="4320" w:leader="none"/>
          <w:tab w:val="left" w:pos="5040" w:leader="none"/>
          <w:tab w:val="left" w:pos="5856" w:leader="none"/>
        </w:tabs>
        <w:jc w:val="both"/>
        <w:rPr/>
      </w:pPr>
      <w:r>
        <w:rPr/>
        <w:tab/>
        <w:t>Enron North America Corp.</w:t>
        <w:tab/>
        <w:tab/>
        <w:tab/>
        <w:t>Enron North America Corp.</w:t>
      </w:r>
    </w:p>
    <w:p>
      <w:pPr>
        <w:pStyle w:val="Normal"/>
        <w:tabs>
          <w:tab w:val="left" w:pos="720" w:leader="none"/>
          <w:tab w:val="left" w:pos="3600" w:leader="none"/>
          <w:tab w:val="left" w:pos="4320" w:leader="none"/>
          <w:tab w:val="left" w:pos="5040" w:leader="none"/>
          <w:tab w:val="left" w:pos="5856" w:leader="none"/>
        </w:tabs>
        <w:jc w:val="both"/>
        <w:rPr/>
      </w:pPr>
      <w:r>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pPr>
      <w:r>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pPr>
      <w:r>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pPr>
      <w:r>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pPr>
      <w:r>
        <w:rPr/>
        <w:tab/>
        <w:tab/>
        <w:tab/>
        <w:tab/>
      </w:r>
      <w:hyperlink r:id="rId2">
        <w:r>
          <w:rPr>
            <w:rStyle w:val="Hyperlink"/>
          </w:rPr>
          <w:t>Rebecca.W.Cantrell@enron.com</w:t>
        </w:r>
      </w:hyperlink>
    </w:p>
    <w:p>
      <w:pPr>
        <w:pStyle w:val="Normal"/>
        <w:tabs>
          <w:tab w:val="left" w:pos="720" w:leader="none"/>
          <w:tab w:val="left" w:pos="3600" w:leader="none"/>
          <w:tab w:val="left" w:pos="4320" w:leader="none"/>
          <w:tab w:val="left" w:pos="5040" w:leader="none"/>
          <w:tab w:val="left" w:pos="5856" w:leader="none"/>
        </w:tabs>
        <w:ind w:firstLine="1440" w:end="0"/>
        <w:jc w:val="both"/>
        <w:rPr/>
      </w:pPr>
      <w:r>
        <w:rPr/>
      </w:r>
    </w:p>
    <w:p>
      <w:pPr>
        <w:pStyle w:val="Normal"/>
        <w:tabs>
          <w:tab w:val="left" w:pos="720" w:leader="none"/>
          <w:tab w:val="left" w:pos="3600" w:leader="none"/>
          <w:tab w:val="left" w:pos="4320" w:leader="none"/>
          <w:tab w:val="left" w:pos="5040" w:leader="none"/>
          <w:tab w:val="left" w:pos="5856" w:leader="none"/>
        </w:tabs>
        <w:ind w:firstLine="1440" w:end="0"/>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color w:val="000000"/>
        </w:rPr>
      </w:pPr>
      <w:r>
        <w:rPr>
          <w:color w:val="000000"/>
        </w:rPr>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ENA is one of the largest marketers of natural gas in the United States.</w:t>
      </w:r>
    </w:p>
    <w:p>
      <w:pPr>
        <w:pStyle w:val="Normal"/>
        <w:widowControl w:val="false"/>
        <w:tabs>
          <w:tab w:val="clear" w:pos="720"/>
          <w:tab w:val="left" w:pos="0" w:leader="none"/>
          <w:tab w:val="left" w:pos="9360" w:leader="none"/>
        </w:tabs>
        <w:spacing w:lineRule="auto" w:line="480"/>
        <w:ind w:firstLine="1440" w:end="0"/>
        <w:jc w:val="both"/>
        <w:rPr/>
      </w:pPr>
      <w:r>
        <w:rPr/>
        <w:t>EES is a provider of natural gas and electric power to the commercial and retail markets in the United States and offers a broad range of energy products, capital, technology and related service capabilities.  EES focuses on sales of energy to medium and large commercial and industrial customers.</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rPr>
      </w:pPr>
      <w:r>
        <w:rPr>
          <w:b/>
        </w:rPr>
        <w:t>III.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On July 13, 2001, the Complainants filed a complaint under Section 5 of the Natural Gas Act against El Paso Natural Gas Company (“El Paso”).  As marketers of natural gas on El Paso’s system, EES and the ENA companies have an interest which may be directly affected by the outcome in these proceedings.  Moreover, EES’ and ENA’s interests cannot be adequately represented by any other party to these proceedings, and EES’ and ENA’s participation in these proceedings will be in the public interest.</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b/>
          <w:bCs/>
        </w:rPr>
      </w:pPr>
      <w:r>
        <w:rPr>
          <w:b/>
          <w:bCs/>
        </w:rPr>
        <w:t>IV.</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Complainants allege that El Paso’s over-selling of firm capacity in conjunction with unlimited growth of demands by its “full requirements”(“FR”) customers results in firm contract demand (“CD”) shippers on El Paso’s system paying for firm services that they are not receiving.  This situation also results in scheduling uncertainty for gas deliveries to the California border.  The complainants assert that the services El Paso is providing them are therefore unjust, unreasonable and unduly discriminatory, in violation of Sections 5 and 7 of the Natural Gas Act, the Commission’s regulations thereunder, and El Paso’s obligations under the 1996 rate case settlement.  Complainants seek a three-part remedy from the Commission:  (1) conversion of FR contracts to CD contracts with reasonable CD levels; (2) expansion of El Paso’s system immediately to meet its existing firm shippers’ transportation rights; and (3) a prohibition on El Paso collecting transportation demand charges for firm service it is unable to provide, until such time as it can show that it is capable of meeting its firm service obligations.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 xml:space="preserve">ENA is a shipper on El Paso, purchasing capacity both directly from El Paso and through the secondary capacity release market.  We experience significant difficulties in scheduling volumes and making deliveries of gas to our El Paso markets, even when we have obtained firm rights on the system.  As we will explain in more detail below, there are clearly problems on El Paso, and the oversubscription to firm capacity and the existence of the full requirements contracts for certain East of California customers are certainly major contributors to the problems that shippers on El Paso face daily.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EES has a number of retail end use customers in Arizona and Nevada, served by Southwest Gas Company, a local distribution company with operations in Arizona, Nevada and California.  Southwest Gas is also a full requirements customer of El Paso.  Even though EES obtained firm capacity through capacity release transactions on El Paso, with primary firm delivery rights into California, EES was unable to successfully use those rights to drop gas off at Southwest Gas delivery points in Arizona and Nevada.  Gas we attempted to schedule at those delivery points on a secondary firm basis was bumped, apparently because the capacity was needed to take gas to the California border, even though EES had not scheduled it to the border.  This seemingly was the result of excess demand at the border, and the overselling of capacity at those delivery points.  However, the east of California situation was clearly not one where capacity was an issue, since Southwest Gas was able to increase its scheduled volumes at its delivery points into Arizona and Nevada, and to meet, through imbalance service, the demand of the transportation customers who were unable to schedule gas into their delivery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 xml:space="preserve">The transportation program on Southwest Gas allows customers with average monthly usage of 15,000 therms to purchase gas in the open market and to have that gas transported through the local distribution company.  Unfortunately, Southwest Gas’ full requirements contract on El Paso prevents those customers from obtaining firm rights to get the gas through the El Paso meter into the Southwest Gas system.  When we experienced problems in delivering our gas to Southwest customers, Southwest claimed that it (Southwest) did not prevent the scheduling of that gas off of El Paso.  However, El Paso informed us that Southwest’s nominations at those points prevented El Paso from confirming our nominations into Southwest.  The upshot of all this is that there is physical capacity available at the applicable delivery points for the transportation customers (as demonstrated by the fact that Southwest Gas was able to compensate for the shippers’ inability to deliver adequate volumes of gas in the months of November 2000 through April of 2001), but the existence of the full requirements contract at those points means that shippers are </w:t>
      </w:r>
      <w:r>
        <w:rPr>
          <w:i/>
          <w:iCs/>
        </w:rPr>
        <w:t>contractually</w:t>
      </w:r>
      <w:r>
        <w:rPr/>
        <w:t xml:space="preserve"> unable to obtain firm capacity necessary to meet their needs.  And on the Southwest system, the imbalances the shippers incurred, which exceeded $24 million for this six-month period of time, were far in excess of the actual cost of gas and transportation because, at least for part of the time, Southwest Gas used the California border price as the cash out price for all of the imbalance volumes, even though it only paid that price for a small portion of the imbalance gas.</w:t>
      </w:r>
      <w:r>
        <w:rPr>
          <w:rStyle w:val="FootnoteCharacters"/>
          <w:rStyle w:val="FootnoteReference"/>
        </w:rPr>
        <w:footnoteReference w:id="2"/>
      </w:r>
      <w:r>
        <w:rPr/>
        <w:t xml:space="preserv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pPr>
      <w:r>
        <w:rPr/>
        <w:t>Whatever other harm complainants have alleged as growing out of the full requirements contracts, ENA would add to that list the fact that the full requirements contracts stand as a barrier to open access service to customers served by the LDCs with those contracts.  Unlike the usual situation where the LDC has established a firm contract demand at its delivery points, meaning that capacity over that demand can be contracted for by other shippers, there can be no excess capacity under a full requirements contract, and shippers are precluded from obtaining primary firm rights on the pipeline to those points.  Thus, ENA requests that the Commission consider the harm that the full requirements contracts cause to open access, competitive markets in the east of California area served by El Paso, and restructure those contracts so that other parties can obtain firm rights through those points.</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ind w:firstLine="1440" w:end="0"/>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ind w:firstLine="1440" w:end="0"/>
        <w:jc w:val="both"/>
        <w:rPr/>
      </w:pPr>
      <w:r>
        <w:rPr/>
        <w:t>WHEREFORE, for the reasons set forth herein, ENA respectfully moves to intervene in the above-captioned proceeding and requests that it be accorded all rights as a full party to such proceeding</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August 2, 2001</w:t>
      </w:r>
    </w:p>
    <w:p>
      <w:pPr>
        <w:sectPr>
          <w:headerReference w:type="default" r:id="rId3"/>
          <w:headerReference w:type="first" r:id="rId4"/>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Dated this 2nd day of August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rPr/>
      </w:pPr>
      <w:r>
        <w:rPr/>
      </w:r>
    </w:p>
    <w:sectPr>
      <w:headerReference w:type="default" r:id="rId5"/>
      <w:headerReference w:type="first" r:id="rId6"/>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EES is contesting these imbalance charges and the terms of the Southwest Gas transportation program in a proceeding pending at the Arizona Corporation Commission.  We have proposed several ways to get around the full requirements contract and the difficulties it poses to shippers, but the Arizona Corporation Commission staff and Southwest Gas are not willing to consider these options.  They are also not willing to give up the benefits of the full requirements contracts as it results in lower costs to the residential and small commercial customers.  ENA feels that the best solution to the transportation problems on Southwest Gas is therefore to restructure the full requirements contract.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RP01-484-000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sz w:val="22"/>
      </w:rPr>
      <w:t>Docket No. RP01-484-000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0</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N)" w:hAnsi="CG Times (WN)" w:cs="CG Times (WN)"/>
      <w:sz w:val="20"/>
      <w:szCs w:val="20"/>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2001-07-30T19:31:00Z</dcterms:created>
  <dc:creator>llawner</dc:creator>
  <dc:description/>
  <dc:language>en-CA</dc:language>
  <cp:lastModifiedBy>Rebecca W. Cantrell</cp:lastModifiedBy>
  <dcterms:modified xsi:type="dcterms:W3CDTF">2001-07-31T17:10:00Z</dcterms:modified>
  <cp:revision>3</cp:revision>
  <dc:subject/>
  <dc:title>IN THE</dc:title>
</cp:coreProperties>
</file>