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 UNITED STATES OF AMERICA</w:t>
      </w:r>
    </w:p>
    <w:p>
      <w:pPr>
        <w:pStyle w:val="Heading1"/>
        <w:ind w:hanging="0" w:start="0"/>
        <w:rPr/>
      </w:pPr>
      <w:r>
        <w:rPr/>
        <w:t>FEDERAL ENERGY REGULATORY COMMISSION</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Heading2"/>
        <w:ind w:hanging="0" w:start="0"/>
        <w:rPr/>
      </w:pPr>
      <w:r>
        <w:rPr/>
        <w:t>The Los Angeles Department of</w:t>
        <w:tab/>
        <w:tab/>
        <w:t>}</w:t>
        <w:tab/>
        <w:t>Docket No. RP01-222-000</w:t>
      </w:r>
    </w:p>
    <w:p>
      <w:pPr>
        <w:pStyle w:val="Normal"/>
        <w:jc w:val="both"/>
        <w:rPr>
          <w:b/>
        </w:rPr>
      </w:pPr>
      <w:r>
        <w:rPr>
          <w:b/>
        </w:rPr>
        <w:t>Water and Power</w:t>
        <w:tab/>
        <w:tab/>
        <w:tab/>
        <w:tab/>
        <w:t>}</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center"/>
        <w:rPr>
          <w:b/>
        </w:rPr>
      </w:pPr>
      <w:r>
        <w:rPr>
          <w:b/>
        </w:rPr>
        <w:t>MOTION OF ENRON CORP. FOR LEAVE TO INTERVENE,</w:t>
      </w:r>
    </w:p>
    <w:p>
      <w:pPr>
        <w:pStyle w:val="Normal"/>
        <w:jc w:val="center"/>
        <w:rPr>
          <w:b/>
        </w:rPr>
      </w:pPr>
      <w:r>
        <w:rPr>
          <w:b/>
        </w:rPr>
        <w:t>ANSWER TO PETITION AND REQUEST TO CONSOLIDATE</w:t>
      </w:r>
    </w:p>
    <w:p>
      <w:pPr>
        <w:pStyle w:val="Heading1"/>
        <w:ind w:hanging="0" w:start="0"/>
        <w:rPr/>
      </w:pPr>
      <w:r>
        <w:rPr/>
        <w:t>PROCEEDINGS</w:t>
      </w:r>
    </w:p>
    <w:p>
      <w:pPr>
        <w:pStyle w:val="Normal"/>
        <w:jc w:val="center"/>
        <w:rPr/>
      </w:pPr>
      <w:r>
        <w:rPr/>
      </w:r>
    </w:p>
    <w:p>
      <w:pPr>
        <w:pStyle w:val="Normal"/>
        <w:jc w:val="center"/>
        <w:rPr/>
      </w:pPr>
      <w:r>
        <w:rPr/>
      </w:r>
    </w:p>
    <w:p>
      <w:pPr>
        <w:pStyle w:val="BodyText"/>
        <w:rPr/>
      </w:pPr>
      <w:r>
        <w:rPr/>
        <w:tab/>
        <w:t>On February 1, 2001, the Los Angeles Department of Water and Power (“LADWP”) filed an emergency petition with the Commission requesting that the Commission rescind the portion of Order No. 637 that removed the price cap for short-term capacity releases and pipeline capacity transactions for service to the California border and to points of interconnection between interstate pipelines and California local distribution companies until March 31, 2001.  LADWP also requests that the Commission initiate a proceeding to determine by that same date whether removal of the price cap on short-term transactions into the California market is warranted.</w:t>
      </w:r>
    </w:p>
    <w:p>
      <w:pPr>
        <w:pStyle w:val="BodyText"/>
        <w:rPr/>
      </w:pPr>
      <w:r>
        <w:rPr/>
        <w:tab/>
        <w:t>By this filing, Enron North America Corp. seeks leave to intervene, to lodge its opposition to the LADWP request, and to have this case consolidated with the San Diego Gas &amp; Electric Company complaint filed in Docket No. RP01-180-000.</w:t>
      </w:r>
    </w:p>
    <w:p>
      <w:pPr>
        <w:pStyle w:val="BodyText"/>
        <w:keepNext w:val="true"/>
        <w:jc w:val="center"/>
        <w:rPr>
          <w:b/>
        </w:rPr>
      </w:pPr>
      <w:r>
        <w:rPr>
          <w:b/>
        </w:rPr>
        <w:t>I.</w:t>
      </w:r>
    </w:p>
    <w:p>
      <w:pPr>
        <w:pStyle w:val="BodyText"/>
        <w:tabs>
          <w:tab w:val="left" w:pos="720" w:leader="none"/>
          <w:tab w:val="left" w:pos="4320" w:leader="none"/>
          <w:tab w:val="left" w:pos="5040" w:leader="none"/>
        </w:tabs>
        <w:rPr/>
      </w:pPr>
      <w:r>
        <w:rPr/>
        <w:tab/>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Leslie J. Lawner, Esq.</w:t>
        <w:tab/>
        <w:tab/>
        <w:tab/>
        <w:t>*Rebecca Cantrell</w:t>
      </w:r>
    </w:p>
    <w:p>
      <w:pPr>
        <w:pStyle w:val="Normal"/>
        <w:tabs>
          <w:tab w:val="left" w:pos="720" w:leader="none"/>
          <w:tab w:val="left" w:pos="3600" w:leader="none"/>
          <w:tab w:val="left" w:pos="4320" w:leader="none"/>
          <w:tab w:val="left" w:pos="5040" w:leader="none"/>
          <w:tab w:val="left" w:pos="5856" w:leader="none"/>
        </w:tabs>
        <w:ind w:hanging="2160" w:start="2160" w:end="0"/>
        <w:jc w:val="both"/>
        <w:rPr/>
      </w:pPr>
      <w:r>
        <w:rPr/>
        <w:tab/>
        <w:t>Enron Corp.</w:t>
        <w:tab/>
        <w:tab/>
        <w:tab/>
        <w:tab/>
        <w:t>Enron North America Corp.</w:t>
      </w:r>
    </w:p>
    <w:p>
      <w:pPr>
        <w:pStyle w:val="Normal"/>
        <w:tabs>
          <w:tab w:val="left" w:pos="720" w:leader="none"/>
          <w:tab w:val="left" w:pos="3600" w:leader="none"/>
          <w:tab w:val="left" w:pos="4320" w:leader="none"/>
          <w:tab w:val="left" w:pos="5040" w:leader="none"/>
          <w:tab w:val="left" w:pos="5856" w:leader="none"/>
        </w:tabs>
        <w:jc w:val="both"/>
        <w:rPr/>
      </w:pPr>
      <w:r>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pPr>
      <w:r>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pPr>
      <w:r>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pPr>
      <w:r>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pPr>
      <w:r>
        <w:rPr/>
        <w:tab/>
        <w:tab/>
        <w:tab/>
        <w:tab/>
      </w:r>
      <w:hyperlink r:id="rId2">
        <w:r>
          <w:rPr>
            <w:rStyle w:val="Hyperlink"/>
          </w:rPr>
          <w:t>Rebecca.W.Cantrell@enron.com</w:t>
        </w:r>
      </w:hyperlink>
    </w:p>
    <w:p>
      <w:pPr>
        <w:pStyle w:val="Normal"/>
        <w:tabs>
          <w:tab w:val="left" w:pos="720" w:leader="none"/>
          <w:tab w:val="left" w:pos="3600" w:leader="none"/>
          <w:tab w:val="left" w:pos="4320" w:leader="none"/>
          <w:tab w:val="left" w:pos="5040" w:leader="none"/>
          <w:tab w:val="left" w:pos="5856" w:leader="none"/>
        </w:tabs>
        <w:jc w:val="both"/>
        <w:rPr>
          <w:rStyle w:val="Hyperlink"/>
        </w:rPr>
      </w:pPr>
      <w:hyperlink r:id="rId3">
        <w:r>
          <w:rPr/>
        </w:r>
      </w:hyperlink>
    </w:p>
    <w:p>
      <w:pPr>
        <w:pStyle w:val="Normal"/>
        <w:tabs>
          <w:tab w:val="left" w:pos="720" w:leader="none"/>
          <w:tab w:val="left" w:pos="3600" w:leader="none"/>
          <w:tab w:val="left" w:pos="4320" w:leader="none"/>
          <w:tab w:val="left" w:pos="5040" w:leader="none"/>
          <w:tab w:val="left" w:pos="5856" w:leader="none"/>
        </w:tabs>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*Designated for service in accordance with Rule 203, 18 C.F.R. §385.203, of the Commission’s Rules of Practice and Procedure.</w:t>
      </w:r>
    </w:p>
    <w:p>
      <w:pPr>
        <w:pStyle w:val="Normal"/>
        <w:tabs>
          <w:tab w:val="left" w:pos="72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rPr>
      </w:pPr>
      <w:r>
        <w:rPr>
          <w:b/>
        </w:rPr>
        <w:t>II.</w:t>
      </w:r>
    </w:p>
    <w:p>
      <w:pPr>
        <w:pStyle w:val="BodyText"/>
        <w:tabs>
          <w:tab w:val="left" w:pos="720" w:leader="none"/>
          <w:tab w:val="left" w:pos="3600" w:leader="none"/>
          <w:tab w:val="left" w:pos="4320" w:leader="none"/>
          <w:tab w:val="left" w:pos="5040" w:leader="none"/>
          <w:tab w:val="left" w:pos="5856" w:leader="none"/>
        </w:tabs>
        <w:rPr/>
      </w:pPr>
      <w:r>
        <w:rPr/>
        <w:tab/>
        <w:t>Enron Corp. markets natural gas for resale in interstate commerce through its subsidiary, Enron North America Corp. (“Enron or ENA”).  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are among the largest natural gas marketers in the U. S., buying and selling under a mix of spot, intermediate and long-term contracts with both fixed and indexed pricing structures.</w:t>
      </w:r>
    </w:p>
    <w:p>
      <w:pPr>
        <w:pStyle w:val="BodyText"/>
        <w:tabs>
          <w:tab w:val="left" w:pos="720" w:leader="none"/>
          <w:tab w:val="left" w:pos="3600" w:leader="none"/>
          <w:tab w:val="left" w:pos="4320" w:leader="none"/>
          <w:tab w:val="left" w:pos="5040" w:leader="none"/>
          <w:tab w:val="left" w:pos="5856" w:leader="none"/>
        </w:tabs>
        <w:rPr/>
      </w:pPr>
      <w:r>
        <w:rPr/>
        <w:tab/>
        <w:t>As a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left" w:pos="720" w:leader="none"/>
          <w:tab w:val="left" w:pos="3600" w:leader="none"/>
          <w:tab w:val="left" w:pos="4320" w:leader="none"/>
          <w:tab w:val="left" w:pos="5040" w:leader="none"/>
          <w:tab w:val="left" w:pos="5856" w:leader="none"/>
        </w:tabs>
        <w:jc w:val="center"/>
        <w:rPr>
          <w:b/>
        </w:rPr>
      </w:pPr>
      <w:r>
        <w:rPr>
          <w:b/>
        </w:rPr>
        <w:t>III.</w:t>
      </w:r>
    </w:p>
    <w:p>
      <w:pPr>
        <w:pStyle w:val="BodyText"/>
        <w:tabs>
          <w:tab w:val="left" w:pos="720" w:leader="none"/>
          <w:tab w:val="left" w:pos="3600" w:leader="none"/>
          <w:tab w:val="left" w:pos="4320" w:leader="none"/>
          <w:tab w:val="left" w:pos="5040" w:leader="none"/>
          <w:tab w:val="left" w:pos="5856" w:leader="none"/>
        </w:tabs>
        <w:rPr/>
      </w:pPr>
      <w:r>
        <w:rPr/>
        <w:tab/>
        <w:t xml:space="preserve">A Request for Emergency Relief was filed with the Commission by San Diego Gas and Electric Company (“SDG&amp;E”) on December 7, 2000, in Docket No. RP01-180-000 (“SDG&amp;E Complaint”), requesting, </w:t>
      </w:r>
      <w:r>
        <w:rPr>
          <w:i/>
        </w:rPr>
        <w:t>inter alia</w:t>
      </w:r>
      <w:r>
        <w:rPr/>
        <w:t xml:space="preserve">, that the Commission immediately reimpose price caps for short-term releases of capacity for service to the California border and enforce the price caps on the transportation component of bundled sales.  Enron filed comments in opposition to SDG&amp;E’s request on December 13, 2000 (“December 13 filing”).  The LADWP request is virtually identical to the SDG&amp;E Complaint and Enron respectfully submits that, to eliminate redundant efforts and to allow full consideration of the issues raised by the two filings, the Commission should consolidate the two proceedings.  An enormous amount of materials has been produced in the SDG&amp;E Complaint proceeding, and it is our understanding that the Commission staff is reviewing this information to ascertain exactly what contributed to the natural gas price increases to California markets.  There would be no reason to recreate this database in the instant case, to address the same issues.  Administrative efficiency would certainly be served by consolidating the cases, and parties would be spared the onus of filing duplicative pleadings in two separate dockets.  </w:t>
      </w:r>
    </w:p>
    <w:p>
      <w:pPr>
        <w:pStyle w:val="BodyText"/>
        <w:tabs>
          <w:tab w:val="left" w:pos="720" w:leader="none"/>
          <w:tab w:val="left" w:pos="3600" w:leader="none"/>
          <w:tab w:val="left" w:pos="4320" w:leader="none"/>
          <w:tab w:val="left" w:pos="5040" w:leader="none"/>
          <w:tab w:val="left" w:pos="5856" w:leader="none"/>
        </w:tabs>
        <w:jc w:val="center"/>
        <w:rPr>
          <w:b/>
        </w:rPr>
      </w:pPr>
      <w:r>
        <w:rPr>
          <w:b/>
        </w:rPr>
        <w:t>IV.</w:t>
      </w:r>
    </w:p>
    <w:p>
      <w:pPr>
        <w:pStyle w:val="BodyText"/>
        <w:tabs>
          <w:tab w:val="left" w:pos="720" w:leader="none"/>
          <w:tab w:val="left" w:pos="3600" w:leader="none"/>
          <w:tab w:val="left" w:pos="4320" w:leader="none"/>
          <w:tab w:val="left" w:pos="5040" w:leader="none"/>
          <w:tab w:val="left" w:pos="5856" w:leader="none"/>
        </w:tabs>
        <w:rPr/>
      </w:pPr>
      <w:r>
        <w:rPr/>
        <w:tab/>
        <w:t>LADWP maintains that there is a lack of workable competition in the short-term pipeline capacity market that is causing significant price distortions in the California market.  LADWP states that the price for interstate transportation has reached 16 times the as-billed rate in December of 2000, causing a 500% increase in the price of gas at the burner tip in California.  This is the very same issue that SDG&amp;E raised in Docket No. RP01-180-000, and Enron incorporates by reference the December 13 filing Enron made in response to SDG&amp;E’s Complaint.</w:t>
      </w:r>
    </w:p>
    <w:p>
      <w:pPr>
        <w:pStyle w:val="BodyText"/>
        <w:tabs>
          <w:tab w:val="left" w:pos="720" w:leader="none"/>
          <w:tab w:val="left" w:pos="3600" w:leader="none"/>
          <w:tab w:val="left" w:pos="4320" w:leader="none"/>
          <w:tab w:val="left" w:pos="5040" w:leader="none"/>
          <w:tab w:val="left" w:pos="5856" w:leader="none"/>
        </w:tabs>
        <w:rPr/>
      </w:pPr>
      <w:r>
        <w:rPr/>
      </w:r>
    </w:p>
    <w:p>
      <w:pPr>
        <w:pStyle w:val="BodyText"/>
        <w:tabs>
          <w:tab w:val="left" w:pos="720" w:leader="none"/>
          <w:tab w:val="left" w:pos="3600" w:leader="none"/>
          <w:tab w:val="left" w:pos="4320" w:leader="none"/>
          <w:tab w:val="left" w:pos="5040" w:leader="none"/>
          <w:tab w:val="left" w:pos="5856" w:leader="none"/>
        </w:tabs>
        <w:rPr/>
      </w:pPr>
      <w:r>
        <w:rPr/>
        <w:tab/>
        <w:t xml:space="preserve">Responding to the LAWDP complaint and arguments in support thereof, Enron maintains that the real cause of the spike in natural gas prices is </w:t>
      </w:r>
      <w:r>
        <w:rPr>
          <w:u w:val="single"/>
        </w:rPr>
        <w:t>not</w:t>
      </w:r>
      <w:r>
        <w:rPr/>
        <w:t xml:space="preserve"> the Commission’s removal of price caps in the short-term pipeline capacity market in Order No. 637.  Natural gas prices increased because parties voluntarily placed themselves in the position of having to rely on the spot market for essential gas needs in a peak season which saw demand increase beyond expected levels.  In-state storage volumes were down.  Parties had let their long-term transportation contracts lapse and did not attempt to lock-in or hedge winter prices before that season began.  Finally, the information that is available to the public through the bulletin boards of the pipelines serving California indicates that many short-term capacity deals (if not most) are not being done at rates above the maximum rate.</w:t>
      </w:r>
    </w:p>
    <w:p>
      <w:pPr>
        <w:pStyle w:val="BodyText"/>
        <w:tabs>
          <w:tab w:val="left" w:pos="720" w:leader="none"/>
          <w:tab w:val="left" w:pos="3600" w:leader="none"/>
          <w:tab w:val="left" w:pos="4320" w:leader="none"/>
          <w:tab w:val="left" w:pos="5040" w:leader="none"/>
          <w:tab w:val="left" w:pos="5856" w:leader="none"/>
        </w:tabs>
        <w:rPr/>
      </w:pPr>
      <w:r>
        <w:rPr/>
        <w:tab/>
        <w:t xml:space="preserve">For the reasons we put forth in the December 13 filing, Enron submits that the Commission must reject LADWP’s request for relief.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March 2,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r>
        <w:br w:type="page"/>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Dated this 2nd day of March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BodyText"/>
        <w:jc w:val="start"/>
        <w:rPr/>
      </w:pPr>
      <w:r>
        <w:rPr/>
      </w:r>
    </w:p>
    <w:sectPr>
      <w:headerReference w:type="default" r:id="rId4"/>
      <w:headerReference w:type="first" r:id="rId5"/>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yperlink" Target="mailto:bcantre@ect.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2001-03-02T14:39:00Z</dcterms:created>
  <dc:creator>llawner</dc:creator>
  <dc:description/>
  <dc:language>en-CA</dc:language>
  <cp:lastModifiedBy>bcantre</cp:lastModifiedBy>
  <dcterms:modified xsi:type="dcterms:W3CDTF">2001-03-02T14:39:00Z</dcterms:modified>
  <cp:revision>2</cp:revision>
  <dc:subject/>
  <dc:title>BEFORE THE UNITED STATES OF AMERICA</dc:title>
</cp:coreProperties>
</file>