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IN THE</w:t>
      </w:r>
    </w:p>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UNITED STATES OF AMERICA</w:t>
      </w:r>
    </w:p>
    <w:p>
      <w:pPr>
        <w:pStyle w:val="Heading1"/>
        <w:ind w:hanging="0" w:start="0"/>
        <w:rPr/>
      </w:pPr>
      <w:r>
        <w:rPr/>
        <w:t>FEDERAL ENERGY REGULATORY COMMISSION</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680" w:leader="none"/>
          <w:tab w:val="right" w:pos="9360" w:leader="none"/>
        </w:tabs>
        <w:jc w:val="both"/>
        <w:rPr>
          <w:rFonts w:ascii="Times New Roman" w:hAnsi="Times New Roman" w:cs="Times New Roman"/>
          <w:sz w:val="24"/>
        </w:rPr>
      </w:pPr>
      <w:r>
        <w:rPr>
          <w:rFonts w:cs="Times New Roman" w:ascii="Times New Roman" w:hAnsi="Times New Roman"/>
          <w:sz w:val="24"/>
        </w:rPr>
        <w:t>El Paso Natural Gas Company</w:t>
        <w:tab/>
        <w:t>§</w:t>
        <w:tab/>
        <w:t>Docket No. RP00-336-002</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REPLY COMMENTS OF ENRON NORTH AMERICA CORP.</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ON EL PASO’S PROPOSAL FOR RECEIPT POINT</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ALLOCATION</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Pursuant to the procedures established at the technical conference held in this matter on August 28, 2001 (“August 28 technical conference”), Enron North America Corp. ("ENA") hereby files its reply comments on the comments to the proposal submitted by El Paso Natural Gas Company (“El Paso”) to allocate receipt point capacity among its shippers.  </w:t>
      </w:r>
    </w:p>
    <w:p>
      <w:pPr>
        <w:pStyle w:val="Normal"/>
        <w:tabs>
          <w:tab w:val="clear" w:pos="720"/>
          <w:tab w:val="left" w:pos="1440" w:leader="none"/>
          <w:tab w:val="left" w:pos="4320" w:leader="none"/>
          <w:tab w:val="left" w:pos="5040"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Initial comments were filed by the following parties:  Pacific Gas &amp; Electric Company; Public Utilities Commission of the State of California; Dynegy Marketing and Trade; Williams Energy Marketing &amp; Trading Company; Southern California Gas Company; East of California Shippers; El Paso Electric Company; Sid Richardson Energy Services Co., Sid Richardson Pipeline, Ltd, and Richardson Energy Marketing, Ltd; Southern California Edison Company; Arizona Public Service Company and Pinnacle West Energy Corporation; Aquila Energy Marketing Corporation; Arizona Corporation Commission; Southwest Gas Corporation; PG&amp;E Energy Trading-Gas Corporation; ONEOK Energy Marketing and Trading Co., L.P.; El Paso Natural Gas Company; Southern California Generation Coalition; The Indicated Shippers; MGI Supply Ltd; and Duke Energy Trading &amp; Marketing, L.L.C.</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In its Initial Comments, Enron supported the use of El Paso’s 3B study for allocation of receipt point capacity.  Enron also argued that El Paso should not use displacement volumes to enable it to meet its firm commitments, nor should it be permitted to increase the number of pools on its system.  Enron further argued that the lack of adequate of capacity on the El Paso system overall must be addressed and that steps, such as voluntary turnbacks of capacity, should be mandated to address this problem.  Enron asserted in its Initial Comments that receipt point capacity must be allocated on a contract-specific basis; that delivery points should be available as receipt points; that capacity releases allocate receipt point capacity on a pro rata basis; and that CD and FR shippers be given equal rights at alternate receipt points.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While a number of parties agreed with some of Enron’s assertions, there is a notable lack of consensus on many major issues, such as use of coincident versus non-coincident peak for capacity allocations, on the use and number of pools, and whether capacity should be allocated back to specific wellhead receipt points.  A number of parties have also advocated conversion of full requirements contracts to contract demand service.  Parties, including Enron, have supported a mandatory capacity rationalization process with capacity turnback opportunities and others support the construction of new facilities to meet capacity demand.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The various Initial Comments filed contain many proposals, some of which are mutually exclusive, and a number of which (including some of Enron’s) involve substantial changes on the El Paso system.  While we are indeed supporting change, Enron is extremely concerned that the diverse nature of the Initial Comments filed and the contrasting positions of the parties have put into play issues that cannot be lightly or amply addressed in Reply Comments due a mere 10 calendar days after parties served them.  We will address below our concerns with the major points raised by others in their Initial Comments, but we agree with the Arizona Corporation Commission which stated in its Initial Comments that “the potential implications on natural gas and electricity service . . . are too great to rush into a decision on the merits, based upon the limited record to this point.”  More must be done procedurally to examine the positions of the parties in this case and to explore solutions that are mutually acceptable, to the extent that is possible, or to achieve the least harm and create the most efficient competitive gas delivery system we can.  While it may appear that Commission action is more expeditious if we proceed along the schedule adopted in this case, if we don’t proceed with care to carefully craft solutions to the receipt point allocation problems on El Paso at this juncture, we will be addressing them again on remand from the courts two or three years down the road.</w:t>
      </w:r>
    </w:p>
    <w:p>
      <w:pPr>
        <w:pStyle w:val="Normal"/>
        <w:numPr>
          <w:ilvl w:val="0"/>
          <w:numId w:val="2"/>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u w:val="single"/>
        </w:rPr>
        <w:t>Proposal to Fully Path El Paso’s System Back to Wellhead Receipt Points</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Southern California Gas Company’s (“SoCalGas”) Initial Comments contain a detailed proposal to allocate capacity all the way back to individual wellhead receipt points to particular delivery points.  SoCalGas would allow pooling as well, but primarily to supplement capacity rights from receipt to delivery points.  Oneok Energy Marketing and Trading Co. (“Oneok”) and Indicated Shippers also support “ fully pathing” the system, by allocating receipt point rights at the individual receipt point level.  </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Enron argued in its Initial Comments:</w:t>
      </w:r>
    </w:p>
    <w:p>
      <w:pPr>
        <w:pStyle w:val="Normal"/>
        <w:tabs>
          <w:tab w:val="clear" w:pos="720"/>
          <w:tab w:val="left" w:pos="8280" w:leader="none"/>
        </w:tabs>
        <w:ind w:start="1440" w:end="1350"/>
        <w:jc w:val="both"/>
        <w:rPr>
          <w:rFonts w:ascii="Times New Roman" w:hAnsi="Times New Roman" w:cs="Times New Roman"/>
          <w:sz w:val="24"/>
        </w:rPr>
      </w:pPr>
      <w:r>
        <w:rPr>
          <w:rFonts w:cs="Times New Roman" w:ascii="Times New Roman" w:hAnsi="Times New Roman"/>
          <w:sz w:val="24"/>
        </w:rPr>
        <w:t xml:space="preserve">When the Commission endorsed pooling on pipeline systems in Order No. 636, it did so to facilitate the aggregation of supplies between the producers, marketers and consumers.  A marketer or end user would not have to purchase supplies at the wellhead or other receipt point.  Supplies would be aggregated at the pools, creating more liquidity and enhancing price discovery as the pooling points also became pricing and trading points.  Pools also serve an important role in allocating supply through constrained points in the system.  [Footnote omitted.]  </w:t>
      </w:r>
    </w:p>
    <w:p>
      <w:pPr>
        <w:pStyle w:val="Normal"/>
        <w:tabs>
          <w:tab w:val="clear" w:pos="720"/>
          <w:tab w:val="left" w:pos="8280" w:leader="none"/>
        </w:tabs>
        <w:ind w:start="1440" w:end="1350"/>
        <w:jc w:val="both"/>
        <w:rPr>
          <w:rFonts w:ascii="Times New Roman" w:hAnsi="Times New Roman" w:cs="Times New Roman"/>
          <w:sz w:val="24"/>
        </w:rPr>
      </w:pPr>
      <w:r>
        <w:rPr>
          <w:rFonts w:cs="Times New Roman" w:ascii="Times New Roman" w:hAnsi="Times New Roman"/>
          <w:sz w:val="24"/>
        </w:rPr>
      </w:r>
    </w:p>
    <w:p>
      <w:pPr>
        <w:pStyle w:val="BodyText"/>
        <w:rPr/>
      </w:pPr>
      <w:r>
        <w:rPr/>
        <w:t xml:space="preserve">Certainly, the usefulness of pooling is best served by </w:t>
      </w:r>
      <w:r>
        <w:rPr>
          <w:u w:val="single"/>
        </w:rPr>
        <w:t>not</w:t>
      </w:r>
      <w:r>
        <w:rPr/>
        <w:t xml:space="preserve"> forcing shippers to identify individual physical receipt points upstream of the pools when they schedule gas.  If the Commission were to adopt a dual-allocation system wherein some shippers acquired capacity back to individual receipt points and others chose to acquire aggregated supplies at pooling points, liquidity, price discovery and reliability would be sacrificed.  If Shipper A chooses to purchase all of its supplies at individual wellhead receipt points behind Supply Pool 1, which may be a more desirable pool than the others, it may encroach on the ability of other firm shippers who choose to purchase at the pooling point, rather than at physical receipt points.  During the iterative process SoCalGas describes (p. 11-13), it is not clear whether shippers requesting specific physical receipt point allocations would be afforded higher priority than pool shippers, or that all shippers should be accorded same treatment for allocation purposes.  The SoCalGas proposal is extremely complex.  On the other hand, Indicated Shippers simply argue that in a two-step process El Paso should be required to “thread the system” by assigning specific receipt point, mainline path and delivery points rights to each contract, and further assert that only three pools are needed and that “within the path” rights must be established to allow shippers to use receipt points other than the ones they were assigned.  </w:t>
      </w:r>
    </w:p>
    <w:p>
      <w:pPr>
        <w:pStyle w:val="BodyText"/>
        <w:tabs>
          <w:tab w:val="clear" w:pos="8280"/>
          <w:tab w:val="left" w:pos="1440" w:leader="none"/>
          <w:tab w:val="left" w:pos="8370" w:leader="none"/>
        </w:tabs>
        <w:rPr/>
      </w:pPr>
      <w:r>
        <w:rPr/>
        <w:tab/>
        <w:t xml:space="preserve">In Enron’s view, if there is adequate takeaway capacity properly allocated among the shippers at each supply pool, there is no operational reason for requiring shippers to select specific receipt points, and to require such allocations, with or without “within-the-path” rights will restrict the shipper’s ability to shop around and to acquire supplies at different receipt points.  Before any allocation methodology which requires assignments of capacity back to individual receipt points is adopted, that methodology, and its full array of consequences, must be fully analyzed and understood by all parties.   </w:t>
      </w:r>
    </w:p>
    <w:p>
      <w:pPr>
        <w:pStyle w:val="Normal"/>
        <w:numPr>
          <w:ilvl w:val="0"/>
          <w:numId w:val="2"/>
        </w:numPr>
        <w:tabs>
          <w:tab w:val="clear" w:pos="720"/>
          <w:tab w:val="left" w:pos="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u w:val="single"/>
        </w:rPr>
        <w:t>Reliance on Displacements to Offer Firm Service is Inappropriate.</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Indicated Shippers state in their Initial Comments that they do not object to the reliance on backhauls or operational flow orders to ensure that backhauls occur, to create firm forward haul capacity.  Enron took the opposite position in its Initial Comments.  Indicated Shippers state that their support is conditioned on backhaul shippers being compensated for complying with Operational Flow Orders (“OFO”).  </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As Enron argued in its Initial Comments, displacements reflect transactions that are temporal in nature and should not be used as a proxy for permanent solutions to capacity usage.  Shippers who hold those displacement contracts may, under Operational Flow Orders or other mandates, be compelled to purchase gas and engage in displacement transactions even when they would otherwise not choose to do so.  A number of the displacement contracts El Paso would rely on are set to expire shortly.  Enron continues to be concerned that the payments a shipper may receive under an OFO may not cover its cost to a comply with a mandatory displacement.  Reliance on displacements to meet firm demand is imprudent given the specter of economic uncertainty surrounding those contracts. </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jc w:val="both"/>
        <w:rPr>
          <w:rFonts w:ascii="Times New Roman" w:hAnsi="Times New Roman" w:cs="Times New Roman"/>
          <w:sz w:val="24"/>
        </w:rPr>
      </w:pPr>
      <w:r>
        <w:rPr>
          <w:rFonts w:cs="Times New Roman" w:ascii="Times New Roman" w:hAnsi="Times New Roman"/>
          <w:sz w:val="24"/>
        </w:rPr>
        <w:tab/>
        <w:t>WHEREFORE, for the reasons set forth herein, ENA respectfully requests that the Commission convene further proceedings to address the complex issues raised by the commenters in response to the El Paso receipt point allocation proposals and give such guidance as it can, in response to the numerous arguments and assertions made in the Initial and Reply Comments, to help the parties craft a mutually acceptable resolution of the capacity allocation at issue in this case.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Dated:  October 24,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rPr>
      </w:pPr>
      <w:r>
        <w:rPr>
          <w:rFonts w:cs="Times New Roman" w:ascii="Times New Roman" w:hAnsi="Times New Roman"/>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Dated this 24th day of October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sectPr>
      <w:headerReference w:type="default" r:id="rId2"/>
      <w:headerReference w:type="first" r:id="rId3"/>
      <w:type w:val="nextPage"/>
      <w:pgSz w:w="12240" w:h="15840"/>
      <w:pgMar w:left="1440" w:right="1440" w:gutter="0" w:header="720" w:top="1440" w:footer="0" w:bottom="135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2"/>
      </w:rPr>
    </w:pPr>
    <w:r>
      <w:rPr>
        <w:rFonts w:cs="Times New Roman" w:ascii="Times New Roman" w:hAnsi="Times New Roman"/>
        <w:sz w:val="22"/>
      </w:rPr>
      <w:t>Docket No. RP00-336-002</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7</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4320" w:leader="none"/>
        <w:tab w:val="left" w:pos="5040" w:leader="none"/>
      </w:tabs>
      <w:jc w:val="center"/>
      <w:outlineLvl w:val="0"/>
    </w:pPr>
    <w:rPr>
      <w:rFonts w:ascii="Times New Roman" w:hAnsi="Times New Roman" w:cs="Times New Roman"/>
      <w:b/>
      <w:bCs/>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280" w:leader="none"/>
      </w:tabs>
      <w:spacing w:lineRule="auto" w:line="480"/>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1440" w:end="0"/>
      <w:jc w:val="both"/>
    </w:pPr>
    <w:rPr>
      <w:rFonts w:ascii="Times New Roman" w:hAnsi="Times New Roman" w:cs="Times New Roman"/>
      <w:sz w:val="24"/>
    </w:rPr>
  </w:style>
  <w:style w:type="paragraph" w:styleId="BodyTextIndent2">
    <w:name w:val="Body Text Indent 2"/>
    <w:basedOn w:val="Normal"/>
    <w:qFormat/>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72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2001-10-23T20:21:00Z</dcterms:created>
  <dc:creator>ECT</dc:creator>
  <dc:description/>
  <dc:language>en-CA</dc:language>
  <cp:lastModifiedBy>llawner</cp:lastModifiedBy>
  <cp:lastPrinted>2001-10-15T09:57:00Z</cp:lastPrinted>
  <dcterms:modified xsi:type="dcterms:W3CDTF">2001-10-23T21:38:00Z</dcterms:modified>
  <cp:revision>7</cp:revision>
  <dc:subject>INTERVENTION</dc:subject>
  <dc:title>FORM - ENRON ACCESS COPR. </dc:title>
</cp:coreProperties>
</file>