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4320" w:leader="none"/>
          <w:tab w:val="left" w:pos="5040" w:leader="none"/>
        </w:tabs>
        <w:jc w:val="center"/>
        <w:rPr>
          <w:rFonts w:ascii="Times New Roman" w:hAnsi="Times New Roman" w:cs="Times New Roman"/>
          <w:b/>
          <w:bCs/>
          <w:sz w:val="24"/>
        </w:rPr>
      </w:pPr>
      <w:r>
        <w:rPr>
          <w:rFonts w:cs="Times New Roman" w:ascii="Times New Roman" w:hAnsi="Times New Roman"/>
          <w:b/>
          <w:bCs/>
          <w:sz w:val="24"/>
        </w:rPr>
        <w:t>IN THE</w:t>
      </w:r>
    </w:p>
    <w:p>
      <w:pPr>
        <w:pStyle w:val="Normal"/>
        <w:tabs>
          <w:tab w:val="clear" w:pos="720"/>
          <w:tab w:val="left" w:pos="1440" w:leader="none"/>
          <w:tab w:val="left" w:pos="4320" w:leader="none"/>
          <w:tab w:val="left" w:pos="5040" w:leader="none"/>
        </w:tabs>
        <w:jc w:val="center"/>
        <w:rPr>
          <w:rFonts w:ascii="Times New Roman" w:hAnsi="Times New Roman" w:cs="Times New Roman"/>
          <w:b/>
          <w:bCs/>
          <w:sz w:val="24"/>
        </w:rPr>
      </w:pPr>
      <w:r>
        <w:rPr>
          <w:rFonts w:cs="Times New Roman" w:ascii="Times New Roman" w:hAnsi="Times New Roman"/>
          <w:b/>
          <w:bCs/>
          <w:sz w:val="24"/>
        </w:rPr>
        <w:t>UNITED STATES OF AMERICA</w:t>
      </w:r>
    </w:p>
    <w:p>
      <w:pPr>
        <w:pStyle w:val="Heading1"/>
        <w:ind w:hanging="0" w:start="0"/>
        <w:rPr/>
      </w:pPr>
      <w:r>
        <w:rPr/>
        <w:t>FEDERAL ENERGY REGULATORY COMMISSION</w:t>
      </w:r>
    </w:p>
    <w:p>
      <w:pPr>
        <w:pStyle w:val="Normal"/>
        <w:tabs>
          <w:tab w:val="clear" w:pos="720"/>
          <w:tab w:val="left" w:pos="1440" w:leader="none"/>
          <w:tab w:val="left" w:pos="4320" w:leader="none"/>
          <w:tab w:val="left" w:pos="5040" w:leader="none"/>
        </w:tabs>
        <w:jc w:val="center"/>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320" w:leader="none"/>
          <w:tab w:val="left" w:pos="5040" w:leader="none"/>
        </w:tabs>
        <w:jc w:val="center"/>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680" w:leader="none"/>
          <w:tab w:val="right" w:pos="9360" w:leader="none"/>
        </w:tabs>
        <w:jc w:val="both"/>
        <w:rPr>
          <w:rFonts w:ascii="Times New Roman" w:hAnsi="Times New Roman" w:cs="Times New Roman"/>
          <w:sz w:val="24"/>
        </w:rPr>
      </w:pPr>
      <w:r>
        <w:rPr>
          <w:rFonts w:cs="Times New Roman" w:ascii="Times New Roman" w:hAnsi="Times New Roman"/>
          <w:sz w:val="24"/>
        </w:rPr>
        <w:t>El Paso Natural Gas Company</w:t>
        <w:tab/>
        <w:t>§</w:t>
        <w:tab/>
        <w:t>Docket No. RP00-336-002</w:t>
      </w:r>
    </w:p>
    <w:p>
      <w:pPr>
        <w:pStyle w:val="Normal"/>
        <w:tabs>
          <w:tab w:val="clear" w:pos="720"/>
          <w:tab w:val="left" w:pos="1440" w:leader="none"/>
          <w:tab w:val="left" w:pos="4680" w:leader="none"/>
        </w:tabs>
        <w:jc w:val="both"/>
        <w:rPr>
          <w:rFonts w:ascii="Times New Roman" w:hAnsi="Times New Roman" w:cs="Times New Roman"/>
          <w:sz w:val="24"/>
        </w:rPr>
      </w:pPr>
      <w:r>
        <w:rPr>
          <w:rFonts w:cs="Times New Roman" w:ascii="Times New Roman" w:hAnsi="Times New Roman"/>
          <w:sz w:val="24"/>
        </w:rPr>
        <w:tab/>
        <w:tab/>
      </w:r>
    </w:p>
    <w:p>
      <w:pPr>
        <w:pStyle w:val="Normal"/>
        <w:tabs>
          <w:tab w:val="clear" w:pos="720"/>
          <w:tab w:val="left" w:pos="1440" w:leader="none"/>
          <w:tab w:val="left" w:pos="46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320" w:leader="none"/>
          <w:tab w:val="left" w:pos="5040" w:leader="none"/>
        </w:tabs>
        <w:jc w:val="center"/>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320" w:leader="none"/>
          <w:tab w:val="left" w:pos="5040" w:leader="none"/>
        </w:tabs>
        <w:jc w:val="center"/>
        <w:rPr>
          <w:rFonts w:ascii="Times New Roman" w:hAnsi="Times New Roman" w:cs="Times New Roman"/>
          <w:b/>
          <w:sz w:val="24"/>
        </w:rPr>
      </w:pPr>
      <w:r>
        <w:rPr>
          <w:rFonts w:cs="Times New Roman" w:ascii="Times New Roman" w:hAnsi="Times New Roman"/>
          <w:b/>
          <w:sz w:val="24"/>
        </w:rPr>
        <w:t>REPLY COMMENTS OF ENRON NORTH AMERICA CORP.</w:t>
      </w:r>
    </w:p>
    <w:p>
      <w:pPr>
        <w:pStyle w:val="Normal"/>
        <w:tabs>
          <w:tab w:val="clear" w:pos="720"/>
          <w:tab w:val="left" w:pos="1440" w:leader="none"/>
          <w:tab w:val="left" w:pos="4320" w:leader="none"/>
          <w:tab w:val="left" w:pos="5040" w:leader="none"/>
        </w:tabs>
        <w:jc w:val="center"/>
        <w:rPr>
          <w:rFonts w:ascii="Times New Roman" w:hAnsi="Times New Roman" w:cs="Times New Roman"/>
          <w:b/>
          <w:sz w:val="24"/>
        </w:rPr>
      </w:pPr>
      <w:r>
        <w:rPr>
          <w:rFonts w:cs="Times New Roman" w:ascii="Times New Roman" w:hAnsi="Times New Roman"/>
          <w:b/>
          <w:sz w:val="24"/>
        </w:rPr>
        <w:t>ON EL PASO’S PROPOSAL FOR RECEIPT POINT</w:t>
      </w:r>
    </w:p>
    <w:p>
      <w:pPr>
        <w:pStyle w:val="Normal"/>
        <w:tabs>
          <w:tab w:val="clear" w:pos="720"/>
          <w:tab w:val="left" w:pos="1440" w:leader="none"/>
          <w:tab w:val="left" w:pos="4320" w:leader="none"/>
          <w:tab w:val="left" w:pos="5040" w:leader="none"/>
        </w:tabs>
        <w:jc w:val="center"/>
        <w:rPr>
          <w:rFonts w:ascii="Times New Roman" w:hAnsi="Times New Roman" w:cs="Times New Roman"/>
          <w:b/>
          <w:sz w:val="24"/>
        </w:rPr>
      </w:pPr>
      <w:r>
        <w:rPr>
          <w:rFonts w:cs="Times New Roman" w:ascii="Times New Roman" w:hAnsi="Times New Roman"/>
          <w:b/>
          <w:sz w:val="24"/>
        </w:rPr>
        <w:t>ALLOCATION</w:t>
      </w:r>
    </w:p>
    <w:p>
      <w:pPr>
        <w:pStyle w:val="Normal"/>
        <w:tabs>
          <w:tab w:val="clear" w:pos="720"/>
          <w:tab w:val="left" w:pos="1440" w:leader="none"/>
          <w:tab w:val="left" w:pos="4320" w:leader="none"/>
          <w:tab w:val="left" w:pos="504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0" w:leader="none"/>
          <w:tab w:val="left" w:pos="4320" w:leader="none"/>
          <w:tab w:val="left" w:pos="504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0" w:leader="none"/>
          <w:tab w:val="left" w:pos="4320" w:leader="none"/>
          <w:tab w:val="left" w:pos="5040" w:leader="none"/>
        </w:tabs>
        <w:spacing w:lineRule="auto" w:line="480" w:before="120" w:after="0"/>
        <w:ind w:firstLine="1440" w:end="0"/>
        <w:jc w:val="both"/>
        <w:rPr>
          <w:rFonts w:ascii="Times New Roman" w:hAnsi="Times New Roman" w:cs="Times New Roman"/>
          <w:sz w:val="24"/>
        </w:rPr>
      </w:pPr>
      <w:r>
        <w:rPr>
          <w:rFonts w:cs="Times New Roman" w:ascii="Times New Roman" w:hAnsi="Times New Roman"/>
          <w:sz w:val="24"/>
        </w:rPr>
        <w:t xml:space="preserve">Pursuant to the procedures established at the technical conference held in this matter on August 28, 2001 (“August 28 technical conference”), Enron North America Corp. ("ENA") hereby files its reply comments on the comments to the proposal submitted by El Paso Natural Gas Company (“El Paso”) to allocate receipt point capacity among its shippers.  </w:t>
      </w:r>
    </w:p>
    <w:p>
      <w:pPr>
        <w:pStyle w:val="Normal"/>
        <w:tabs>
          <w:tab w:val="clear" w:pos="720"/>
          <w:tab w:val="left" w:pos="1440" w:leader="none"/>
          <w:tab w:val="left" w:pos="4320" w:leader="none"/>
          <w:tab w:val="left" w:pos="5040" w:leader="none"/>
        </w:tabs>
        <w:spacing w:lineRule="auto" w:line="480" w:before="120" w:after="0"/>
        <w:ind w:firstLine="1440" w:end="0"/>
        <w:jc w:val="both"/>
        <w:rPr>
          <w:rFonts w:ascii="Times New Roman" w:hAnsi="Times New Roman" w:cs="Times New Roman"/>
          <w:sz w:val="24"/>
        </w:rPr>
      </w:pPr>
      <w:r>
        <w:rPr>
          <w:rFonts w:cs="Times New Roman" w:ascii="Times New Roman" w:hAnsi="Times New Roman"/>
          <w:sz w:val="24"/>
        </w:rPr>
        <w:t>Initial comments were filed by the following parties:  Pacific Gas &amp; Electric Company; Public Utilities Commission of the State of California; Dynegy Marketing and Trade; Williams Energy Marketing &amp; Trading Company; Southern California Gas Company; East of California Shippers; El Paso Electric Company; Sid Richardson Energy Services Co., Sid Richardson Pipeline, Ltd, and Richardson Energy Marketing, Ltd; Southern California Edison Company; Arizona Public Service Company and Pinnacle West Energy Corporation; Aquila Energy Marketing Corporation; Arizona Corporation Commission; Southwest Gas Corporation; PG&amp;E Energy Trading-Gas Corporation; ONEOK Energy Marketing and Trading Co., L.P.; El Paso Natural Gas Company; Southern California Generation Coalition; The Indicated Shippers; MGI Supply Ltd; and Duke Energy Trading &amp; Marketing, L.L.C.</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1440" w:end="0"/>
        <w:jc w:val="both"/>
        <w:rPr>
          <w:rFonts w:ascii="Times New Roman" w:hAnsi="Times New Roman" w:cs="Times New Roman"/>
          <w:sz w:val="24"/>
        </w:rPr>
      </w:pPr>
      <w:r>
        <w:rPr>
          <w:rFonts w:cs="Times New Roman" w:ascii="Times New Roman" w:hAnsi="Times New Roman"/>
          <w:sz w:val="24"/>
        </w:rPr>
        <w:t xml:space="preserve">In its Initial Comments, Enron supported the use of El Paso’s 3B study for allocation of receipt point capacity.  Enron also argued that El Paso should not use displacement volumes to enable it to meet its firm commitments, nor should it be permitted to increase the number of pools on its system.  Enron further argued that the lack of adequate of capacity on the El Paso system overall must be addressed and that steps, such as voluntary turnbacks of capacity, should be mandated to address this problem.  Enron asserted in its Initial Comments that receipt point capacity must be allocated on a contract-specific basis; that delivery points should be available as receipt points; that capacity releases should be allocated receipt point capacity on a pro rata basis unless otherwise agreed to by the parties; that El Paso should be required to refund demand charges for firm capacity that shippers have not been able to utilize because of system inadequacies.and that CD and FR shippers be given equal rights at alternate receipt points. </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1440" w:end="0"/>
        <w:jc w:val="both"/>
        <w:rPr>
          <w:rFonts w:ascii="Times New Roman" w:hAnsi="Times New Roman" w:cs="Times New Roman"/>
          <w:sz w:val="24"/>
        </w:rPr>
      </w:pPr>
      <w:r>
        <w:rPr>
          <w:rFonts w:cs="Times New Roman" w:ascii="Times New Roman" w:hAnsi="Times New Roman"/>
          <w:sz w:val="24"/>
        </w:rPr>
        <w:t>While a number of parties agreed with some of Enron’s assertions, there is a notable lack of consensus on many major issues, such as use of coincident versus non-coincident peak for capacity allocations, on the use and number of pools, and whether capacity should be allocated back to specific wellhead receipt points.  A number of parties have also advocated conversion of full requirements contracts to contract demand service.  Parties, including Enron, have supported a mandatory capacity rationalization process with capacity turnback opportunities, and others support the construction of new facilities to meet capacity demand.</w:t>
      </w:r>
    </w:p>
    <w:p>
      <w:pPr>
        <w:pStyle w:val="Normal"/>
        <w:tabs>
          <w:tab w:val="clear" w:pos="720"/>
          <w:tab w:val="left" w:pos="1440" w:leader="none"/>
          <w:tab w:val="left" w:pos="3600" w:leader="none"/>
          <w:tab w:val="left" w:pos="4320" w:leader="none"/>
          <w:tab w:val="left" w:pos="5040" w:leader="none"/>
          <w:tab w:val="left" w:pos="5856" w:leader="none"/>
        </w:tabs>
        <w:spacing w:lineRule="auto" w:line="480" w:before="120" w:after="0"/>
        <w:ind w:firstLine="1440" w:end="0"/>
        <w:jc w:val="both"/>
        <w:rPr>
          <w:rFonts w:ascii="Times New Roman" w:hAnsi="Times New Roman" w:cs="Times New Roman"/>
          <w:sz w:val="24"/>
        </w:rPr>
      </w:pPr>
      <w:r>
        <w:rPr>
          <w:rFonts w:cs="Times New Roman" w:ascii="Times New Roman" w:hAnsi="Times New Roman"/>
          <w:sz w:val="24"/>
        </w:rPr>
        <w:t>The various Initial Comments filed contain many proposals, some of which are mutually exclusive, and a number of which (including some of Enron’s) involve substantial changes on the El Paso system.  While we are indeed supporting change, Enron is extremely concerned that the diverse nature of the Initial Comments filed and the contrasting positions of the parties have put into play issues that cannot be lightly or amply addressed in Reply Comments due a mere 10 calendar days after parties served them.  We will address below our concerns with the major points raised by others in their Initial Comments, but we agree with the Arizona Corporation Commission’s statement in its Initial Comments that “the potential implications on natural gas and electricity service . . . are too great to rush into a decision on the merits, based upon the limited record to this point.”  More must be done procedurally to examine the positions of the parties in this case and to explore solutions that are mutually acceptable, to the extent that is possible, or to achieve the least harm and create the most efficient competitive gas delivery system we can.  While it may appear that Commission action is more expeditious if we proceed along the schedule adopted in this case, if we don’t proceed with care to carefully craft solutions to the receipt point allocation problems on El Paso at this juncture, we will be addressing them again on remand from the courts two or three years down the road.</w:t>
      </w:r>
    </w:p>
    <w:p>
      <w:pPr>
        <w:pStyle w:val="Normal"/>
        <w:numPr>
          <w:ilvl w:val="0"/>
          <w:numId w:val="2"/>
        </w:numPr>
        <w:tabs>
          <w:tab w:val="clear" w:pos="720"/>
          <w:tab w:val="left" w:pos="1440" w:leader="none"/>
          <w:tab w:val="left" w:pos="3600" w:leader="none"/>
          <w:tab w:val="left" w:pos="4320" w:leader="none"/>
          <w:tab w:val="left" w:pos="5040" w:leader="none"/>
          <w:tab w:val="left" w:pos="5856" w:leader="none"/>
        </w:tabs>
        <w:spacing w:lineRule="auto" w:line="480" w:before="120" w:after="0"/>
        <w:jc w:val="both"/>
        <w:rPr>
          <w:rFonts w:ascii="Times New Roman" w:hAnsi="Times New Roman" w:cs="Times New Roman"/>
          <w:sz w:val="24"/>
        </w:rPr>
      </w:pPr>
      <w:r>
        <w:rPr>
          <w:rFonts w:cs="Times New Roman" w:ascii="Times New Roman" w:hAnsi="Times New Roman"/>
          <w:sz w:val="24"/>
          <w:u w:val="single"/>
        </w:rPr>
        <w:t>Proposal to Fully Path El Paso’s System Back to Wellhead Receipt Points</w:t>
      </w:r>
    </w:p>
    <w:p>
      <w:pPr>
        <w:pStyle w:val="Normal"/>
        <w:tabs>
          <w:tab w:val="clear" w:pos="720"/>
          <w:tab w:val="left" w:pos="0" w:leader="none"/>
          <w:tab w:val="left" w:pos="3600" w:leader="none"/>
          <w:tab w:val="left" w:pos="4320" w:leader="none"/>
          <w:tab w:val="left" w:pos="5040" w:leader="none"/>
          <w:tab w:val="left" w:pos="5856" w:leader="none"/>
        </w:tabs>
        <w:spacing w:lineRule="auto" w:line="480" w:before="120" w:after="0"/>
        <w:ind w:firstLine="1440" w:end="0"/>
        <w:jc w:val="both"/>
        <w:rPr>
          <w:rFonts w:ascii="Times New Roman" w:hAnsi="Times New Roman" w:cs="Times New Roman"/>
          <w:sz w:val="24"/>
        </w:rPr>
      </w:pPr>
      <w:r>
        <w:rPr>
          <w:rFonts w:cs="Times New Roman" w:ascii="Times New Roman" w:hAnsi="Times New Roman"/>
          <w:sz w:val="24"/>
        </w:rPr>
        <w:t xml:space="preserve">Southern California Gas Company’s (“SoCalGas”) Initial Comments contain a detailed proposal to allocate capacity all the way back to individual wellhead receipt points to particular delivery points.  SoCalGas would allow pooling as well, but primarily to supplement capacity rights from receipt to delivery points.  ONEOK Energy Marketing and Trading Co. (“ONEOK”) and Indicated Shippers also support “ fully pathing” the system, by allocating receipt point rights at the individual receipt point level.  </w:t>
      </w:r>
    </w:p>
    <w:p>
      <w:pPr>
        <w:pStyle w:val="Normal"/>
        <w:tabs>
          <w:tab w:val="clear" w:pos="720"/>
          <w:tab w:val="left" w:pos="0" w:leader="none"/>
          <w:tab w:val="left" w:pos="3600" w:leader="none"/>
          <w:tab w:val="left" w:pos="4320" w:leader="none"/>
          <w:tab w:val="left" w:pos="5040" w:leader="none"/>
          <w:tab w:val="left" w:pos="5856" w:leader="none"/>
        </w:tabs>
        <w:spacing w:lineRule="auto" w:line="480" w:before="120" w:after="0"/>
        <w:ind w:firstLine="1440" w:end="0"/>
        <w:jc w:val="both"/>
        <w:rPr>
          <w:rFonts w:ascii="Times New Roman" w:hAnsi="Times New Roman" w:cs="Times New Roman"/>
          <w:sz w:val="24"/>
        </w:rPr>
      </w:pPr>
      <w:r>
        <w:rPr>
          <w:rFonts w:cs="Times New Roman" w:ascii="Times New Roman" w:hAnsi="Times New Roman"/>
          <w:sz w:val="24"/>
        </w:rPr>
        <w:t>Enron argued in its Initial Comments:</w:t>
      </w:r>
    </w:p>
    <w:p>
      <w:pPr>
        <w:pStyle w:val="Normal"/>
        <w:tabs>
          <w:tab w:val="clear" w:pos="720"/>
          <w:tab w:val="left" w:pos="8280" w:leader="none"/>
        </w:tabs>
        <w:ind w:start="1440" w:end="1350"/>
        <w:jc w:val="both"/>
        <w:rPr>
          <w:rFonts w:ascii="Times New Roman" w:hAnsi="Times New Roman" w:cs="Times New Roman"/>
          <w:sz w:val="24"/>
        </w:rPr>
      </w:pPr>
      <w:r>
        <w:rPr>
          <w:rFonts w:cs="Times New Roman" w:ascii="Times New Roman" w:hAnsi="Times New Roman"/>
          <w:sz w:val="24"/>
        </w:rPr>
        <w:t xml:space="preserve">When the Commission endorsed pooling on pipeline systems in Order No. 636, it did so to facilitate the aggregation of supplies between the producers, marketers and consumers.  A marketer or end user would not have to purchase supplies at the wellhead or other receipt point.  Supplies would be aggregated at the pools, creating more liquidity and enhancing price discovery as the pooling points also became pricing and trading points.  Pools also serve an important role in allocating supply through constrained points in the system.  [Footnote omitted.]  </w:t>
      </w:r>
    </w:p>
    <w:p>
      <w:pPr>
        <w:pStyle w:val="Normal"/>
        <w:tabs>
          <w:tab w:val="clear" w:pos="720"/>
          <w:tab w:val="left" w:pos="8280" w:leader="none"/>
        </w:tabs>
        <w:ind w:start="1440" w:end="1350"/>
        <w:jc w:val="both"/>
        <w:rPr>
          <w:rFonts w:ascii="Times New Roman" w:hAnsi="Times New Roman" w:cs="Times New Roman"/>
          <w:sz w:val="24"/>
        </w:rPr>
      </w:pPr>
      <w:r>
        <w:rPr>
          <w:rFonts w:cs="Times New Roman" w:ascii="Times New Roman" w:hAnsi="Times New Roman"/>
          <w:sz w:val="24"/>
        </w:rPr>
      </w:r>
    </w:p>
    <w:p>
      <w:pPr>
        <w:pStyle w:val="BodyText"/>
        <w:rPr/>
      </w:pPr>
      <w:r>
        <w:rPr/>
        <w:t xml:space="preserve">Certainly, the usefulness of pooling is best served by </w:t>
      </w:r>
      <w:r>
        <w:rPr>
          <w:u w:val="single"/>
        </w:rPr>
        <w:t>not</w:t>
      </w:r>
      <w:r>
        <w:rPr/>
        <w:t xml:space="preserve"> forcing shippers to identify individual physical receipt points upstream of the pools when they schedule gas.  If the Commission were to adopt a dual-allocation system wherein some shippers acquired capacity back to individual receipt points and others chose pooling points in order to access aggregated supplies, liquidity, price discovery and reliability would be sacrificed.  If Shipper A chooses to purchase all of its supplies at individual wellhead receipt points behind Supply Pool 1, which may be a more desirable pool than the others, it may encroach on the ability of other firm shippers who choose to purchase at the pooling point, rather than at physical receipt points.  During the iterative process SoCalGas describes (p. 11-13), it is not clear whether shippers requesting specific physical receipt point allocations would be afforded higher priority than pool shippers, or that all shippers should be accorded same treatment for allocation purposes.  The SoCalGas proposal is extremely complex.  On the other hand, Indicated Shippers simply argue that in a two-step process El Paso should be required to “thread the system” by assigning specific receipt point, mainline path and delivery points rights to each contract, and further assert that only three pools are needed and that “within the path” rights must be established to allow shippers to use receipt points other than the ones they were assigned.  </w:t>
      </w:r>
    </w:p>
    <w:p>
      <w:pPr>
        <w:pStyle w:val="BodyText"/>
        <w:tabs>
          <w:tab w:val="clear" w:pos="8280"/>
          <w:tab w:val="left" w:pos="1440" w:leader="none"/>
          <w:tab w:val="left" w:pos="8370" w:leader="none"/>
        </w:tabs>
        <w:rPr/>
      </w:pPr>
      <w:r>
        <w:rPr/>
        <w:tab/>
        <w:t xml:space="preserve">In Enron’s view, if there is adequate takeaway capacity properly allocated among the shippers at each supply pool, there is no operational reason for requiring shippers to select specific receipt points, and to require such allocations, with or without “within-the-path” rights will restrict the shipper’s ability to shop around and to acquire supplies that might come from different receipt points within a pool.  Before any allocation methodology which requires assignments of capacity back to individual receipt points is adopted, that methodology, and its full array of consequences, must be fully analyzed and understood by all parties.   </w:t>
      </w:r>
    </w:p>
    <w:p>
      <w:pPr>
        <w:pStyle w:val="Normal"/>
        <w:numPr>
          <w:ilvl w:val="0"/>
          <w:numId w:val="2"/>
        </w:numPr>
        <w:tabs>
          <w:tab w:val="clear" w:pos="720"/>
          <w:tab w:val="left" w:pos="0" w:leader="none"/>
          <w:tab w:val="left" w:pos="3600" w:leader="none"/>
          <w:tab w:val="left" w:pos="4320" w:leader="none"/>
          <w:tab w:val="left" w:pos="5040" w:leader="none"/>
          <w:tab w:val="left" w:pos="5856" w:leader="none"/>
        </w:tabs>
        <w:spacing w:lineRule="auto" w:line="480" w:before="120" w:after="0"/>
        <w:jc w:val="both"/>
        <w:rPr>
          <w:rFonts w:ascii="Times New Roman" w:hAnsi="Times New Roman" w:cs="Times New Roman"/>
          <w:sz w:val="24"/>
        </w:rPr>
      </w:pPr>
      <w:r>
        <w:rPr>
          <w:rFonts w:cs="Times New Roman" w:ascii="Times New Roman" w:hAnsi="Times New Roman"/>
          <w:sz w:val="24"/>
          <w:u w:val="single"/>
        </w:rPr>
        <w:t>Reliance on Displacements to Offer Firm Service is Inappropriate.</w:t>
      </w:r>
    </w:p>
    <w:p>
      <w:pPr>
        <w:pStyle w:val="Normal"/>
        <w:tabs>
          <w:tab w:val="clear" w:pos="720"/>
          <w:tab w:val="left" w:pos="0" w:leader="none"/>
          <w:tab w:val="left" w:pos="3600" w:leader="none"/>
          <w:tab w:val="left" w:pos="4320" w:leader="none"/>
          <w:tab w:val="left" w:pos="5040" w:leader="none"/>
          <w:tab w:val="left" w:pos="5856" w:leader="none"/>
        </w:tabs>
        <w:spacing w:lineRule="auto" w:line="480" w:before="120" w:after="0"/>
        <w:ind w:firstLine="1440" w:end="0"/>
        <w:jc w:val="both"/>
        <w:rPr>
          <w:rFonts w:ascii="Times New Roman" w:hAnsi="Times New Roman" w:cs="Times New Roman"/>
          <w:sz w:val="24"/>
        </w:rPr>
      </w:pPr>
      <w:r>
        <w:rPr>
          <w:rFonts w:cs="Times New Roman" w:ascii="Times New Roman" w:hAnsi="Times New Roman"/>
          <w:sz w:val="24"/>
        </w:rPr>
        <w:t xml:space="preserve">Indicated Shippers state in their Initial Comments that they do not object to the reliance on backhauls or operational flow orders to ensure that backhauls occur, to create firm forward haul capacity.  Enron took the opposite position in its Initial Comments.  Indicated Shippers state that their support is conditioned on backhaul shippers being compensated for complying with Operational Flow Orders (“OFO”).  </w:t>
      </w:r>
    </w:p>
    <w:p>
      <w:pPr>
        <w:pStyle w:val="Normal"/>
        <w:tabs>
          <w:tab w:val="clear" w:pos="720"/>
          <w:tab w:val="left" w:pos="0" w:leader="none"/>
          <w:tab w:val="left" w:pos="3600" w:leader="none"/>
          <w:tab w:val="left" w:pos="4320" w:leader="none"/>
          <w:tab w:val="left" w:pos="5040" w:leader="none"/>
          <w:tab w:val="left" w:pos="5856" w:leader="none"/>
        </w:tabs>
        <w:spacing w:lineRule="auto" w:line="480" w:before="120" w:after="0"/>
        <w:ind w:firstLine="1440" w:end="0"/>
        <w:jc w:val="both"/>
        <w:rPr>
          <w:rFonts w:ascii="Times New Roman" w:hAnsi="Times New Roman" w:cs="Times New Roman"/>
          <w:sz w:val="24"/>
        </w:rPr>
      </w:pPr>
      <w:r>
        <w:rPr>
          <w:rFonts w:cs="Times New Roman" w:ascii="Times New Roman" w:hAnsi="Times New Roman"/>
          <w:sz w:val="24"/>
        </w:rPr>
        <w:t xml:space="preserve">As Enron argued in its Initial Comments, displacements reflect transactions that are temporal in nature and should not be used as a proxy for permanent solutions to capacity usage.  Shippers who hold those displacement contracts may, under Operational Flow Orders or other mandates, be compelled to purchase gas and engage in displacement transactions even when they would otherwise not choose to do so.  A number of the displacement contracts El Paso would rely on are set to expire shortly.  Enron continues to be concerned that the payments a shipper may receive under an OFO may not cover its cost to a comply with a mandatory displacement.  Reliance on displacements to meet firm demand is imprudent given the specter of economic uncertainty surrounding those contracts. </w:t>
      </w:r>
    </w:p>
    <w:p>
      <w:pPr>
        <w:pStyle w:val="Normal"/>
        <w:keepNext w:val="true"/>
        <w:tabs>
          <w:tab w:val="clear" w:pos="720"/>
          <w:tab w:val="left" w:pos="1440" w:leader="none"/>
          <w:tab w:val="left" w:pos="3600" w:leader="none"/>
          <w:tab w:val="left" w:pos="4320" w:leader="none"/>
          <w:tab w:val="left" w:pos="5040" w:leader="none"/>
          <w:tab w:val="left" w:pos="5856" w:leader="none"/>
        </w:tabs>
        <w:spacing w:lineRule="auto" w:line="480" w:before="240" w:after="0"/>
        <w:jc w:val="both"/>
        <w:rPr>
          <w:rFonts w:ascii="Times New Roman" w:hAnsi="Times New Roman" w:cs="Times New Roman"/>
          <w:sz w:val="24"/>
        </w:rPr>
      </w:pPr>
      <w:r>
        <w:rPr>
          <w:rFonts w:cs="Times New Roman" w:ascii="Times New Roman" w:hAnsi="Times New Roman"/>
          <w:sz w:val="24"/>
        </w:rPr>
        <w:tab/>
        <w:t>WHEREFORE, for the reasons set forth herein, ENA respectfully requests that the Commission convene further proceedings to address the complex issues raised by the commenters in response to the El Paso receipt point allocation proposals and give such guidance as it can, in response to the numerous arguments and assertions made in the Initial and Reply Comments, to help the parties craft a mutually acceptable resolution of the capacity allocation at issue in this case.</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Respectfully submitted,</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r>
      <w:r>
        <w:rPr>
          <w:rFonts w:cs="Times New Roman" w:ascii="Times New Roman" w:hAnsi="Times New Roman"/>
          <w:sz w:val="24"/>
          <w:u w:val="single"/>
        </w:rPr>
        <w:t xml:space="preserve">                                                     </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Leslie J. Lawner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Attorney for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Enron North America Corp.</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712 N. Lea</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Roswell, New Mexico  88201</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(505) 623-6778</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Dated:  October 24, 2001</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rFonts w:ascii="Times New Roman" w:hAnsi="Times New Roman" w:cs="Times New Roman"/>
          <w:sz w:val="24"/>
          <w:u w:val="single"/>
        </w:rPr>
      </w:pPr>
      <w:r>
        <w:rPr>
          <w:rFonts w:cs="Times New Roman" w:ascii="Times New Roman" w:hAnsi="Times New Roman"/>
          <w:sz w:val="24"/>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rFonts w:ascii="Times New Roman" w:hAnsi="Times New Roman" w:cs="Times New Roman"/>
          <w:sz w:val="24"/>
          <w:u w:val="single"/>
        </w:rPr>
      </w:pPr>
      <w:r>
        <w:rPr>
          <w:rFonts w:cs="Times New Roman" w:ascii="Times New Roman" w:hAnsi="Times New Roman"/>
          <w:sz w:val="24"/>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rFonts w:ascii="Times New Roman" w:hAnsi="Times New Roman" w:cs="Times New Roman"/>
          <w:sz w:val="24"/>
          <w:u w:val="single"/>
        </w:rPr>
      </w:pPr>
      <w:r>
        <w:rPr>
          <w:rFonts w:cs="Times New Roman" w:ascii="Times New Roman" w:hAnsi="Times New Roman"/>
          <w:sz w:val="24"/>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rFonts w:ascii="Times New Roman" w:hAnsi="Times New Roman" w:cs="Times New Roman"/>
          <w:sz w:val="24"/>
        </w:rPr>
      </w:pPr>
      <w:r>
        <w:rPr>
          <w:rFonts w:cs="Times New Roman" w:ascii="Times New Roman" w:hAnsi="Times New Roman"/>
          <w:sz w:val="24"/>
          <w:u w:val="single"/>
        </w:rPr>
        <w:t>CERTIFICATE OF SERVICE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rFonts w:ascii="Times New Roman" w:hAnsi="Times New Roman" w:cs="Times New Roman"/>
          <w:sz w:val="24"/>
        </w:rPr>
      </w:pPr>
      <w:r>
        <w:rPr>
          <w:rFonts w:cs="Times New Roman" w:ascii="Times New Roman" w:hAnsi="Times New Roman"/>
          <w:sz w:val="24"/>
        </w:rPr>
        <w:tab/>
        <w:t>I, Leslie J. Lawner, hereby certify that I have caused a copy of the foregoing document to be served upon the Secretary of the Commission in accordance with the requirements of Rule 2010 of the Rules of Practice and Procedure.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rFonts w:ascii="Times New Roman" w:hAnsi="Times New Roman" w:cs="Times New Roman"/>
          <w:sz w:val="24"/>
        </w:rPr>
      </w:pPr>
      <w:r>
        <w:rPr>
          <w:rFonts w:cs="Times New Roman" w:ascii="Times New Roman" w:hAnsi="Times New Roman"/>
          <w:sz w:val="24"/>
        </w:rPr>
        <w:tab/>
        <w:t>Dated this 24th day of October 2001.</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r>
      <w:r>
        <w:rPr>
          <w:rFonts w:cs="Times New Roman" w:ascii="Times New Roman" w:hAnsi="Times New Roman"/>
          <w:sz w:val="24"/>
          <w:u w:val="single"/>
        </w:rPr>
        <w:t xml:space="preserve">                                                     </w:t>
      </w:r>
    </w:p>
    <w:p>
      <w:pPr>
        <w:pStyle w:val="Normal"/>
        <w:tabs>
          <w:tab w:val="clear" w:pos="720"/>
          <w:tab w:val="left" w:pos="1440" w:leader="none"/>
          <w:tab w:val="left" w:pos="3600" w:leader="none"/>
          <w:tab w:val="left" w:pos="4320" w:leader="none"/>
          <w:tab w:val="left" w:pos="5040" w:leader="none"/>
          <w:tab w:val="left" w:pos="5856" w:leader="none"/>
        </w:tabs>
        <w:jc w:val="both"/>
        <w:rPr>
          <w:rFonts w:ascii="Times New Roman" w:hAnsi="Times New Roman" w:cs="Times New Roman"/>
          <w:sz w:val="24"/>
        </w:rPr>
      </w:pPr>
      <w:r>
        <w:rPr>
          <w:rFonts w:cs="Times New Roman" w:ascii="Times New Roman" w:hAnsi="Times New Roman"/>
          <w:sz w:val="24"/>
        </w:rPr>
        <w:tab/>
        <w:tab/>
        <w:tab/>
        <w:tab/>
        <w:t>Leslie J. Lawner</w:t>
      </w:r>
    </w:p>
    <w:sectPr>
      <w:headerReference w:type="default" r:id="rId2"/>
      <w:headerReference w:type="first" r:id="rId3"/>
      <w:type w:val="nextPage"/>
      <w:pgSz w:w="12240" w:h="15840"/>
      <w:pgMar w:left="1440" w:right="1440" w:gutter="0" w:header="720" w:top="1440" w:footer="0" w:bottom="135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default"/>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270" w:leader="none"/>
      </w:tabs>
      <w:rPr>
        <w:rStyle w:val="PageNumber"/>
        <w:rFonts w:ascii="Times New Roman" w:hAnsi="Times New Roman" w:cs="Times New Roman"/>
        <w:sz w:val="22"/>
      </w:rPr>
    </w:pPr>
    <w:r>
      <w:rPr>
        <w:rFonts w:cs="Times New Roman" w:ascii="Times New Roman" w:hAnsi="Times New Roman"/>
        <w:sz w:val="22"/>
      </w:rPr>
      <w:t>Docket No. RP00-336-002</w:t>
      <w:tab/>
      <w:tab/>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7</w:t>
    </w:r>
    <w:r>
      <w:rPr>
        <w:rStyle w:val="PageNumber"/>
        <w:sz w:val="22"/>
        <w:rFonts w:cs="Times New Roman" w:ascii="Times New Roman" w:hAnsi="Times New Roman"/>
      </w:rPr>
      <w:fldChar w:fldCharType="end"/>
    </w:r>
  </w:p>
  <w:p>
    <w:pPr>
      <w:pStyle w:val="Header"/>
      <w:tabs>
        <w:tab w:val="clear" w:pos="8640"/>
        <w:tab w:val="center" w:pos="4320" w:leader="none"/>
        <w:tab w:val="right" w:pos="9270" w:leader="none"/>
      </w:tabs>
      <w:rPr>
        <w:rStyle w:val="PageNumber"/>
        <w:rFonts w:ascii="Times New Roman" w:hAnsi="Times New Roman" w:cs="Times New Roman"/>
        <w:sz w:val="22"/>
      </w:rPr>
    </w:pPr>
    <w:r>
      <w:rPr/>
    </w:r>
  </w:p>
  <w:p>
    <w:pPr>
      <w:pStyle w:val="Header"/>
      <w:tabs>
        <w:tab w:val="clear" w:pos="8640"/>
        <w:tab w:val="center" w:pos="4320" w:leader="none"/>
        <w:tab w:val="right" w:pos="9270" w:leader="none"/>
      </w:tabs>
      <w:rPr>
        <w:rStyle w:val="PageNumber"/>
        <w:rFonts w:ascii="Times New Roman" w:hAnsi="Times New Roman" w:cs="Times New Roman"/>
      </w:rPr>
    </w:pPr>
    <w:r>
      <w:rPr/>
    </w:r>
  </w:p>
  <w:p>
    <w:pPr>
      <w:pStyle w:val="Header"/>
      <w:tabs>
        <w:tab w:val="clear" w:pos="8640"/>
        <w:tab w:val="center" w:pos="4320" w:leader="none"/>
        <w:tab w:val="right" w:pos="9270" w:leader="none"/>
      </w:tabs>
      <w:rPr>
        <w:rStyle w:val="PageNumber"/>
        <w:rFonts w:ascii="Times New Roman" w:hAnsi="Times New Roman" w:cs="Times New Roman"/>
      </w:rPr>
    </w:pPr>
    <w:r>
      <w:rPr/>
    </w:r>
  </w:p>
  <w:p>
    <w:pPr>
      <w:pStyle w:val="Header"/>
      <w:tabs>
        <w:tab w:val="clear" w:pos="8640"/>
        <w:tab w:val="center" w:pos="4320" w:leader="none"/>
        <w:tab w:val="right" w:pos="9270" w:leader="none"/>
      </w:tabs>
      <w:rPr>
        <w:rStyle w:val="PageNumber"/>
        <w:rFonts w:ascii="Times New Roman" w:hAnsi="Times New Roman" w:cs="Times New Roman"/>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N)" w:hAnsi="CG Times (WN)" w:eastAsia="Times New Roman" w:cs="CG Times (W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1440" w:leader="none"/>
        <w:tab w:val="left" w:pos="4320" w:leader="none"/>
        <w:tab w:val="left" w:pos="5040" w:leader="none"/>
      </w:tabs>
      <w:jc w:val="center"/>
      <w:outlineLvl w:val="0"/>
    </w:pPr>
    <w:rPr>
      <w:rFonts w:ascii="Times New Roman" w:hAnsi="Times New Roman" w:cs="Times New Roman"/>
      <w:b/>
      <w:bCs/>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8280" w:leader="none"/>
      </w:tabs>
      <w:spacing w:lineRule="auto" w:line="480"/>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BodyTextIndent">
    <w:name w:val="Body Text Indent"/>
    <w:basedOn w:val="Normal"/>
    <w:pPr>
      <w:tabs>
        <w:tab w:val="clear" w:pos="720"/>
        <w:tab w:val="left" w:pos="1440" w:leader="none"/>
        <w:tab w:val="left" w:pos="2880" w:leader="none"/>
        <w:tab w:val="left" w:pos="4320" w:leader="none"/>
        <w:tab w:val="left" w:pos="5040" w:leader="none"/>
        <w:tab w:val="left" w:pos="5856" w:leader="none"/>
      </w:tabs>
      <w:spacing w:lineRule="auto" w:line="480" w:before="120" w:after="0"/>
      <w:ind w:hanging="0" w:start="1440" w:end="0"/>
      <w:jc w:val="both"/>
    </w:pPr>
    <w:rPr>
      <w:rFonts w:ascii="Times New Roman" w:hAnsi="Times New Roman" w:cs="Times New Roman"/>
      <w:sz w:val="24"/>
    </w:rPr>
  </w:style>
  <w:style w:type="paragraph" w:styleId="BodyTextIndent2">
    <w:name w:val="Body Text Indent 2"/>
    <w:basedOn w:val="Normal"/>
    <w:qFormat/>
    <w:pPr>
      <w:tabs>
        <w:tab w:val="clear" w:pos="720"/>
        <w:tab w:val="left" w:pos="1440" w:leader="none"/>
        <w:tab w:val="left" w:pos="2880" w:leader="none"/>
        <w:tab w:val="left" w:pos="4320" w:leader="none"/>
        <w:tab w:val="left" w:pos="5040" w:leader="none"/>
        <w:tab w:val="left" w:pos="5856" w:leader="none"/>
      </w:tabs>
      <w:spacing w:lineRule="auto" w:line="480" w:before="120" w:after="0"/>
      <w:ind w:hanging="0" w:start="720" w:end="0"/>
      <w:jc w:val="both"/>
    </w:pPr>
    <w:rPr>
      <w:rFonts w:ascii="Times New Roman" w:hAnsi="Times New Roman" w:cs="Times New Roman"/>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2001-10-23T22:11:00Z</dcterms:created>
  <dc:creator>ECT</dc:creator>
  <dc:description/>
  <dc:language>en-CA</dc:language>
  <cp:lastModifiedBy>Rebecca W. Cantrell</cp:lastModifiedBy>
  <cp:lastPrinted>2001-10-15T09:57:00Z</cp:lastPrinted>
  <dcterms:modified xsi:type="dcterms:W3CDTF">2001-10-23T22:33:00Z</dcterms:modified>
  <cp:revision>3</cp:revision>
  <dc:subject>INTERVENTION</dc:subject>
  <dc:title>FORM - ENRON ACCESS COPR. </dc:title>
</cp:coreProperties>
</file>