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numPr>
          <w:ilvl w:val="0"/>
          <w:numId w:val="0"/>
        </w:numPr>
        <w:outlineLvl w:val="0"/>
        <w:rPr/>
      </w:pPr>
      <w:r>
        <w:rPr/>
        <w:t>UNITED STATES OF AMERICA</w:t>
      </w:r>
    </w:p>
    <w:p>
      <w:pPr>
        <w:pStyle w:val="Normal"/>
        <w:numPr>
          <w:ilvl w:val="0"/>
          <w:numId w:val="0"/>
        </w:numPr>
        <w:jc w:val="center"/>
        <w:outlineLvl w:val="0"/>
        <w:rPr>
          <w:b/>
          <w:bCs/>
        </w:rPr>
      </w:pPr>
      <w:r>
        <w:rPr>
          <w:b/>
          <w:bCs/>
        </w:rPr>
        <w:t>BEFORE THE</w:t>
      </w:r>
    </w:p>
    <w:p>
      <w:pPr>
        <w:pStyle w:val="Normal"/>
        <w:numPr>
          <w:ilvl w:val="0"/>
          <w:numId w:val="0"/>
        </w:numPr>
        <w:jc w:val="center"/>
        <w:outlineLvl w:val="0"/>
        <w:rPr>
          <w:b/>
          <w:bCs/>
        </w:rPr>
      </w:pPr>
      <w:r>
        <w:rPr>
          <w:b/>
          <w:bCs/>
        </w:rPr>
        <w:t>FEDERAL ENERGY REGULATORY COMMISSION</w:t>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tabs>
          <w:tab w:val="clear" w:pos="720"/>
          <w:tab w:val="left" w:pos="4320" w:leader="none"/>
        </w:tabs>
        <w:rPr/>
      </w:pPr>
      <w:r>
        <w:rPr/>
        <w:t>Public Utilities Commission of the</w:t>
        <w:tab/>
        <w:t>)</w:t>
      </w:r>
    </w:p>
    <w:p>
      <w:pPr>
        <w:pStyle w:val="Normal"/>
        <w:tabs>
          <w:tab w:val="clear" w:pos="720"/>
          <w:tab w:val="left" w:pos="4320" w:leader="none"/>
        </w:tabs>
        <w:rPr/>
      </w:pPr>
      <w:r>
        <w:rPr/>
        <w:t xml:space="preserve">   </w:t>
      </w:r>
      <w:r>
        <w:rPr/>
        <w:t>State of California</w:t>
        <w:tab/>
        <w:t>)</w:t>
      </w:r>
    </w:p>
    <w:p>
      <w:pPr>
        <w:pStyle w:val="Normal"/>
        <w:tabs>
          <w:tab w:val="clear" w:pos="720"/>
          <w:tab w:val="left" w:pos="4320" w:leader="none"/>
        </w:tabs>
        <w:rPr/>
      </w:pPr>
      <w:r>
        <w:rPr/>
        <w:tab/>
        <w:t>)</w:t>
      </w:r>
    </w:p>
    <w:p>
      <w:pPr>
        <w:pStyle w:val="Normal"/>
        <w:tabs>
          <w:tab w:val="clear" w:pos="720"/>
          <w:tab w:val="left" w:pos="4320" w:leader="none"/>
          <w:tab w:val="right" w:pos="8460" w:leader="none"/>
        </w:tabs>
        <w:rPr/>
      </w:pPr>
      <w:r>
        <w:rPr/>
        <w:t xml:space="preserve">          </w:t>
      </w:r>
      <w:r>
        <w:rPr/>
        <w:t>v.</w:t>
        <w:tab/>
        <w:t>)</w:t>
        <w:tab/>
        <w:t>Docket No. RP00-241-000</w:t>
      </w:r>
    </w:p>
    <w:p>
      <w:pPr>
        <w:pStyle w:val="Normal"/>
        <w:tabs>
          <w:tab w:val="clear" w:pos="720"/>
          <w:tab w:val="left" w:pos="4320" w:leader="none"/>
          <w:tab w:val="right" w:pos="8460" w:leader="none"/>
        </w:tabs>
        <w:rPr/>
      </w:pPr>
      <w:r>
        <w:rPr/>
        <w:tab/>
        <w:t>)</w:t>
      </w:r>
    </w:p>
    <w:p>
      <w:pPr>
        <w:pStyle w:val="Normal"/>
        <w:tabs>
          <w:tab w:val="clear" w:pos="720"/>
          <w:tab w:val="left" w:pos="4320" w:leader="none"/>
          <w:tab w:val="right" w:pos="8460" w:leader="none"/>
        </w:tabs>
        <w:rPr/>
      </w:pPr>
      <w:r>
        <w:rPr/>
        <w:t>El Paso Natural Gas Company,</w:t>
        <w:tab/>
        <w:t>)</w:t>
      </w:r>
    </w:p>
    <w:p>
      <w:pPr>
        <w:pStyle w:val="Normal"/>
        <w:tabs>
          <w:tab w:val="clear" w:pos="720"/>
          <w:tab w:val="left" w:pos="4320" w:leader="none"/>
          <w:tab w:val="right" w:pos="8460" w:leader="none"/>
        </w:tabs>
        <w:rPr/>
      </w:pPr>
      <w:r>
        <w:rPr/>
        <w:t>El Paso Merchant Energy Gas, L.P.,</w:t>
        <w:tab/>
        <w:t>)</w:t>
      </w:r>
    </w:p>
    <w:p>
      <w:pPr>
        <w:pStyle w:val="Normal"/>
        <w:tabs>
          <w:tab w:val="clear" w:pos="720"/>
          <w:tab w:val="left" w:pos="4320" w:leader="none"/>
          <w:tab w:val="right" w:pos="8460" w:leader="none"/>
        </w:tabs>
        <w:rPr/>
      </w:pPr>
      <w:r>
        <w:rPr/>
        <w:t>El Paso Merchant Energy Company</w:t>
        <w:tab/>
        <w:t>)</w:t>
      </w:r>
    </w:p>
    <w:p>
      <w:pPr>
        <w:pStyle w:val="Normal"/>
        <w:tabs>
          <w:tab w:val="clear" w:pos="720"/>
          <w:tab w:val="left" w:pos="4320" w:leader="none"/>
          <w:tab w:val="right" w:pos="8460" w:leader="none"/>
        </w:tabs>
        <w:rPr/>
      </w:pPr>
      <w:r>
        <w:rPr/>
      </w:r>
    </w:p>
    <w:p>
      <w:pPr>
        <w:pStyle w:val="Normal"/>
        <w:tabs>
          <w:tab w:val="clear" w:pos="720"/>
          <w:tab w:val="left" w:pos="4320" w:leader="none"/>
          <w:tab w:val="right" w:pos="8460" w:leader="none"/>
        </w:tabs>
        <w:rPr/>
      </w:pPr>
      <w:r>
        <w:rPr/>
      </w:r>
    </w:p>
    <w:p>
      <w:pPr>
        <w:pStyle w:val="Heading1"/>
        <w:ind w:hanging="0" w:start="0"/>
        <w:rPr/>
      </w:pPr>
      <w:r>
        <w:rPr/>
        <w:t>PREPARED DIRECT TESTIMONY</w:t>
      </w:r>
    </w:p>
    <w:p>
      <w:pPr>
        <w:pStyle w:val="Normal"/>
        <w:tabs>
          <w:tab w:val="clear" w:pos="720"/>
          <w:tab w:val="left" w:pos="4320" w:leader="none"/>
          <w:tab w:val="right" w:pos="8460" w:leader="none"/>
        </w:tabs>
        <w:jc w:val="center"/>
        <w:rPr>
          <w:b/>
          <w:bCs/>
        </w:rPr>
      </w:pPr>
      <w:r>
        <w:rPr>
          <w:b/>
          <w:bCs/>
        </w:rPr>
        <w:t>OF PATRICIA A. SHELTON</w:t>
      </w:r>
    </w:p>
    <w:p>
      <w:pPr>
        <w:pStyle w:val="Normal"/>
        <w:tabs>
          <w:tab w:val="clear" w:pos="720"/>
          <w:tab w:val="left" w:pos="4320" w:leader="none"/>
          <w:tab w:val="right" w:pos="8460" w:leader="none"/>
        </w:tabs>
        <w:jc w:val="center"/>
        <w:rPr>
          <w:b/>
          <w:bCs/>
        </w:rPr>
      </w:pPr>
      <w:r>
        <w:rPr>
          <w:b/>
          <w:bCs/>
        </w:rPr>
        <w:t>ON MARKETING AFFILIATE ISSUES</w:t>
      </w:r>
    </w:p>
    <w:p>
      <w:pPr>
        <w:pStyle w:val="Normal"/>
        <w:tabs>
          <w:tab w:val="clear" w:pos="720"/>
          <w:tab w:val="left" w:pos="4320" w:leader="none"/>
          <w:tab w:val="right" w:pos="8460" w:leader="none"/>
        </w:tabs>
        <w:jc w:val="center"/>
        <w:rPr>
          <w:b/>
          <w:bCs/>
        </w:rPr>
      </w:pPr>
      <w:r>
        <w:rPr>
          <w:b/>
          <w:bCs/>
        </w:rPr>
      </w:r>
    </w:p>
    <w:p>
      <w:pPr>
        <w:pStyle w:val="Normal"/>
        <w:tabs>
          <w:tab w:val="left" w:pos="720" w:leader="none"/>
          <w:tab w:val="left" w:pos="4320" w:leader="none"/>
          <w:tab w:val="right" w:pos="8460" w:leader="none"/>
        </w:tabs>
        <w:spacing w:lineRule="auto" w:line="480"/>
        <w:ind w:hanging="720" w:start="720" w:end="0"/>
        <w:rPr/>
      </w:pPr>
      <w:r>
        <w:rPr/>
        <w:t>Q.</w:t>
        <w:tab/>
        <w:t>Please state your name and address.</w:t>
      </w:r>
    </w:p>
    <w:p>
      <w:pPr>
        <w:pStyle w:val="Normal"/>
        <w:tabs>
          <w:tab w:val="left" w:pos="720" w:leader="none"/>
          <w:tab w:val="left" w:pos="4320" w:leader="none"/>
          <w:tab w:val="right" w:pos="8460" w:leader="none"/>
        </w:tabs>
        <w:spacing w:lineRule="auto" w:line="480" w:before="0" w:after="240"/>
        <w:ind w:hanging="720" w:start="720" w:end="0"/>
        <w:rPr/>
      </w:pPr>
      <w:r>
        <w:rPr/>
        <w:t>A.</w:t>
        <w:tab/>
        <w:t>My name is Patricia A. Shelton.  My business address is 2 North Nevada Ave., Colorado Springs, Colorado  80903.</w:t>
      </w:r>
    </w:p>
    <w:p>
      <w:pPr>
        <w:pStyle w:val="Normal"/>
        <w:tabs>
          <w:tab w:val="left" w:pos="720" w:leader="none"/>
          <w:tab w:val="left" w:pos="4320" w:leader="none"/>
          <w:tab w:val="right" w:pos="8460" w:leader="none"/>
        </w:tabs>
        <w:spacing w:lineRule="auto" w:line="480"/>
        <w:ind w:hanging="720" w:start="720" w:end="0"/>
        <w:rPr/>
      </w:pPr>
      <w:r>
        <w:rPr/>
        <w:t>Q.</w:t>
        <w:tab/>
        <w:t>Are you the same Patricia A. Shelton who submitted Prepared Direct Testimony in the market power phase of this proceeding?</w:t>
      </w:r>
    </w:p>
    <w:p>
      <w:pPr>
        <w:pStyle w:val="Normal"/>
        <w:tabs>
          <w:tab w:val="left" w:pos="720" w:leader="none"/>
          <w:tab w:val="left" w:pos="4320" w:leader="none"/>
          <w:tab w:val="right" w:pos="8460" w:leader="none"/>
        </w:tabs>
        <w:spacing w:lineRule="auto" w:line="480" w:before="0" w:after="240"/>
        <w:ind w:hanging="720" w:start="720" w:end="0"/>
        <w:rPr/>
      </w:pPr>
      <w:r>
        <w:rPr/>
        <w:t>A.</w:t>
        <w:tab/>
        <w:t>Yes, I am.</w:t>
      </w:r>
    </w:p>
    <w:p>
      <w:pPr>
        <w:pStyle w:val="Normal"/>
        <w:tabs>
          <w:tab w:val="left" w:pos="720" w:leader="none"/>
          <w:tab w:val="left" w:pos="4320" w:leader="none"/>
          <w:tab w:val="right" w:pos="8460" w:leader="none"/>
        </w:tabs>
        <w:spacing w:lineRule="auto" w:line="480"/>
        <w:ind w:hanging="720" w:start="720" w:end="0"/>
        <w:rPr/>
      </w:pPr>
      <w:r>
        <w:rPr/>
        <w:t>Q.</w:t>
        <w:tab/>
        <w:t>What is the purpose of your testimony in this affiliate phase of the hearing?</w:t>
      </w:r>
    </w:p>
    <w:p>
      <w:pPr>
        <w:pStyle w:val="BodyTextIndent"/>
        <w:spacing w:before="0" w:after="240"/>
        <w:rPr/>
      </w:pPr>
      <w:r>
        <w:rPr/>
        <w:t>A.</w:t>
        <w:tab/>
        <w:t xml:space="preserve">As I understand it from the Commission’s order on rehearing, this phase of the hearing is to address issues related to whether El Paso Natural Gas Company (“EPNG”) improperly favored its marketing affiliate, El Paso Merchant Energy (“Merchant”), in the manner in which it structured its February 2000 open season for approximately 1.2 Bcf/d of firm capacity, and whether EPNG improperly gave Merchant advance notice of a discount on the Mojave Pipeline Company (“Mojave”) system, thereby giving Merchant an advantage over other shippers in bidding for the EPNG capacity.  I will demonstrate that neither of these allegations can be sustained when the relevant facts are examined.  </w:t>
      </w:r>
    </w:p>
    <w:p>
      <w:pPr>
        <w:pStyle w:val="BodyTextIndent"/>
        <w:spacing w:before="0" w:after="240"/>
        <w:jc w:val="center"/>
        <w:rPr>
          <w:b/>
          <w:bCs/>
          <w:u w:val="single"/>
        </w:rPr>
      </w:pPr>
      <w:r>
        <w:rPr>
          <w:b/>
          <w:bCs/>
          <w:u w:val="single"/>
        </w:rPr>
        <w:t>The February 2000 Open Season</w:t>
      </w:r>
    </w:p>
    <w:p>
      <w:pPr>
        <w:pStyle w:val="BodyTextIndent"/>
        <w:rPr/>
      </w:pPr>
      <w:r>
        <w:rPr/>
        <w:t>Q.</w:t>
        <w:tab/>
        <w:t>Please explain how you arrived at the terms that were applicable to the open season EPNG held in February 2000.</w:t>
      </w:r>
    </w:p>
    <w:p>
      <w:pPr>
        <w:pStyle w:val="BodyTextIndent"/>
        <w:spacing w:before="0" w:after="240"/>
        <w:rPr/>
      </w:pPr>
      <w:r>
        <w:rPr/>
        <w:t>A.</w:t>
        <w:tab/>
        <w:t xml:space="preserve">Let me begin by explaining the reason we held the open season.  When I became President of EPNG on January 1, 2000, all of our capacity was subscribed under firm contracts.  Of relevance to this proceeding, we had three contracts with Enron North American Corp. (“Enron”) that became effective on the same day I assumed my duties as President of EPNG.  Enron’s contracts covered a total of approximately 1.2 Bcf/d of capacity that was spread among the three capacity blocks identified in Section 4.5 of the General Terms and Conditions of EPNG’s tariff.  The contracts carried a term of one calendar year and thus would expire by their terms on December 31, 2001. </w:t>
      </w:r>
    </w:p>
    <w:p>
      <w:pPr>
        <w:pStyle w:val="BodyTextIndent"/>
        <w:rPr/>
      </w:pPr>
      <w:r>
        <w:rPr/>
        <w:t>Q.</w:t>
        <w:tab/>
        <w:t>Are the three blocks of capacity you just referred to the same three blocks that were subsequently acquired by Merchant?</w:t>
      </w:r>
    </w:p>
    <w:p>
      <w:pPr>
        <w:pStyle w:val="BodyTextIndent"/>
        <w:spacing w:before="0" w:after="240"/>
        <w:rPr/>
      </w:pPr>
      <w:r>
        <w:rPr/>
        <w:t>A.</w:t>
        <w:tab/>
        <w:t xml:space="preserve">Yes, with some minor variations in volume due to a previous capacity release by Enron.  </w:t>
      </w:r>
    </w:p>
    <w:p>
      <w:pPr>
        <w:pStyle w:val="BodyTextIndent"/>
        <w:rPr/>
      </w:pPr>
      <w:r>
        <w:rPr/>
        <w:t>Q.</w:t>
        <w:tab/>
        <w:t>What type of contracts did EPNG and Enron enter into?</w:t>
      </w:r>
    </w:p>
    <w:p>
      <w:pPr>
        <w:pStyle w:val="BodyTextIndent"/>
        <w:spacing w:before="0" w:after="240"/>
        <w:rPr/>
      </w:pPr>
      <w:r>
        <w:rPr/>
        <w:t>A.</w:t>
        <w:tab/>
        <w:t>We and Enron entered into “negotiated” rate contracts for firm service.</w:t>
      </w:r>
    </w:p>
    <w:p>
      <w:pPr>
        <w:pStyle w:val="BodyTextIndent"/>
        <w:keepNext w:val="true"/>
        <w:keepLines/>
        <w:rPr/>
      </w:pPr>
      <w:r>
        <w:rPr/>
        <w:t>Q.</w:t>
        <w:tab/>
        <w:t>What is a “negotiated” rate contract?</w:t>
      </w:r>
    </w:p>
    <w:p>
      <w:pPr>
        <w:pStyle w:val="BodyTextIndent"/>
        <w:spacing w:before="0" w:after="240"/>
        <w:rPr/>
      </w:pPr>
      <w:r>
        <w:rPr/>
        <w:t>A.</w:t>
        <w:tab/>
        <w:t>The Commission allows pipelines and shippers to enter into contracts which allow for rates that are structured on a basis other than Straight Fixed Variable rate design and for rates above the maximum rates specified in the pipeline’s tariff.  However, these contracts must be separately filed and approved by the Commission.  The Enron contracts were negotiated contracts because they contained a rate provision that allowed for additional dollars to be paid to EPNG at the end of the term of the contracts based on an indexed pricing formula.</w:t>
      </w:r>
    </w:p>
    <w:p>
      <w:pPr>
        <w:pStyle w:val="BodyTextIndent"/>
        <w:rPr/>
      </w:pPr>
      <w:r>
        <w:rPr/>
        <w:t>Q.</w:t>
        <w:tab/>
        <w:t>Did the Enron contracts continue in effect for the full term agreed on by EPNG and Enron?</w:t>
      </w:r>
    </w:p>
    <w:p>
      <w:pPr>
        <w:pStyle w:val="BodyTextIndent"/>
        <w:spacing w:before="0" w:after="240"/>
        <w:rPr/>
      </w:pPr>
      <w:r>
        <w:rPr/>
        <w:t>A.</w:t>
        <w:tab/>
        <w:t xml:space="preserve">No.  On January 19, 2000, the Commission issued an order in response to the protests to the tariff filing EPNG had made to put the Enron negotiated rate contracts into effect.  In that order, the Commission found that the contracts were acceptable as negotiated rate contracts and, despite protests that such a large amount of capacity being placed in the hands of one party was anticompetitive, that size alone did not serve to make the contracts unacceptable.  In that regard, the Commission even noted that Southern California Gas Company (“SoCalGas”) controls approximately 1.17 Bcf/d of EPNG capacity, which was approximately the same amount of capacity on the EPNG system as the amount acquired by Enron.  </w:t>
      </w:r>
    </w:p>
    <w:p>
      <w:pPr>
        <w:pStyle w:val="BodyTextIndent"/>
        <w:spacing w:before="0" w:after="240"/>
        <w:rPr/>
      </w:pPr>
      <w:r>
        <w:rPr/>
        <w:tab/>
        <w:t xml:space="preserve">Even though the Commission approved the Enron negotiated contracts, it found in the January 19 order that Block II capacity could not be sold on a primary basis to any delivery point other than EPNG’s interconnect with PG&amp;E at Topock, Arizona.  Because EPNG's Block II contract with Enron contained a provision providing that the Block II capacity had primary delivery rights at all of El Paso's Topock interconnects, including its interconnects with SoCalGas and Mojave, the Commission said that the contract would have to be amended to remove that provision and to substitute language stating that the Block II capacity has primary rights only at PG&amp;E-Topock and alternate rights at the other Topock delivery points.  </w:t>
      </w:r>
    </w:p>
    <w:p>
      <w:pPr>
        <w:pStyle w:val="BodyTextIndent"/>
        <w:rPr/>
      </w:pPr>
      <w:r>
        <w:rPr/>
        <w:t>Q.</w:t>
        <w:tab/>
        <w:t>Did this change cause Enron to ask EPNG to reconsider the contracts?</w:t>
      </w:r>
    </w:p>
    <w:p>
      <w:pPr>
        <w:pStyle w:val="BodyTextIndent"/>
        <w:spacing w:before="0" w:after="240"/>
        <w:rPr/>
      </w:pPr>
      <w:r>
        <w:rPr/>
        <w:t>A.</w:t>
        <w:tab/>
        <w:t>Yes.  Enron had valued the capacity it obtained from EPNG at $38 million, apparently on the assumption that it would be able to access the markets behind the SoCalGas/Topock point on a primary delivery point basis under the Block II contract as well as the Block III contract.  Upon issuance of the Commission’s order, Enron told EPNG that the required amendment to the Block II contract was unacceptable to it.  After several discussions with Enron regarding this issue, EPNG was notified in writing on January 27, 2000, that Enron did not consider itself to have any contractual obligations to EPNG under the Block II contract.  A copy of the Enron letter to EPNG is attached to this testimony as EPNG</w:t>
        <w:noBreakHyphen/>
        <w:t>39.  Subsequently, EPNG and Enron agreed to terminate all three Enron contracts as of January 31, 2000, and Enron agreed to pay EPNG 1/12</w:t>
      </w:r>
      <w:r>
        <w:rPr>
          <w:vertAlign w:val="superscript"/>
        </w:rPr>
        <w:t>th</w:t>
      </w:r>
      <w:r>
        <w:rPr/>
        <w:t xml:space="preserve"> of $38 million, plus usage charges, for transportation service received during the month of January.  A copy of the Letter Agreement terminating the contracts is attached hereto as EPNG-40.</w:t>
      </w:r>
    </w:p>
    <w:p>
      <w:pPr>
        <w:pStyle w:val="BodyTextIndent"/>
        <w:keepNext w:val="true"/>
        <w:keepLines/>
        <w:rPr/>
      </w:pPr>
      <w:r>
        <w:rPr/>
        <w:t>Q.</w:t>
        <w:tab/>
        <w:t>Why was the decision made by EPNG to terminate the Enron contracts?</w:t>
      </w:r>
    </w:p>
    <w:p>
      <w:pPr>
        <w:pStyle w:val="BodyTextIndent"/>
        <w:spacing w:before="0" w:after="240"/>
        <w:rPr/>
      </w:pPr>
      <w:r>
        <w:rPr/>
        <w:t>A.</w:t>
        <w:tab/>
        <w:t>It was apparent in the discussions we had with Enron that Enron had no intention of performing under the contracts for the full twelve months without being forced to do so by a court.  Moreover, Enron stated that it would not continue to pay its reservation charge.  We were thus faced with the dilemma of having approximately 35 percent of our capacity to California tied up in litigation if we insisted on enforcing the contracts.  Given the time it takes to litigate a breach of contract lawsuit, we were sure we would have no resolution before the twelve months expired, and if Enron prevailed in the court, we could have lost almost a full year of revenues on 35 percent of our California capacity.  Even more important to us, however, was the fact that we did not believe then, and do not believe now, that litigation is preferable to an agreed-upon resolution of commercial disputes that arise between us and our shippers.</w:t>
      </w:r>
    </w:p>
    <w:p>
      <w:pPr>
        <w:pStyle w:val="BodyTextIndent"/>
        <w:rPr/>
      </w:pPr>
      <w:r>
        <w:rPr/>
        <w:t>Q.</w:t>
        <w:tab/>
        <w:t>Did you know, when you agreed to terminate Enron’s contracts, whether EPNG would find another shipper or shippers that would be interested in acquiring the relinquished capacity?</w:t>
      </w:r>
    </w:p>
    <w:p>
      <w:pPr>
        <w:pStyle w:val="BodyTextIndent"/>
        <w:spacing w:before="0" w:after="240"/>
        <w:rPr/>
      </w:pPr>
      <w:r>
        <w:rPr/>
        <w:t>A.</w:t>
        <w:tab/>
        <w:t xml:space="preserve">We knew we would have to hold another open season for the capacity, but we believed it would be marketable.  </w:t>
      </w:r>
    </w:p>
    <w:p>
      <w:pPr>
        <w:pStyle w:val="BodyTextIndent"/>
        <w:rPr/>
      </w:pPr>
      <w:r>
        <w:rPr/>
        <w:t>Q.</w:t>
        <w:tab/>
        <w:t>What was the basis for this belief?</w:t>
      </w:r>
    </w:p>
    <w:p>
      <w:pPr>
        <w:pStyle w:val="BodyTextIndent"/>
        <w:spacing w:before="0" w:after="240"/>
        <w:rPr/>
      </w:pPr>
      <w:r>
        <w:rPr/>
        <w:t>A.</w:t>
        <w:tab/>
        <w:t>Prior to the time we entered into the contracts with Enron, we had agreed to a prearranged deal for this same capacity with an undisclosed shipper.  That transaction was posted on our bulletin board so that others would have the opportunity to bid against it.  That is what Enron did.  It outbid the undisclosed bidder’s price, and the undisclosed party opted not to match Enron’s higher bid, thereby securing the capacity for Enron.  I believed that the undisclosed shipper would be among those bidding for the capacity in a new open season.  After all, it had only been a couple of months since that bidder had offered us an acceptable amount of money for the capacity.</w:t>
      </w:r>
    </w:p>
    <w:p>
      <w:pPr>
        <w:pStyle w:val="BodyTextIndent"/>
        <w:rPr/>
      </w:pPr>
      <w:r>
        <w:rPr/>
        <w:t>Q.</w:t>
        <w:tab/>
        <w:t>Did anyone at EPNG approach the undisclosed bidder about acquiring the capacity after the Enron contracts were terminated?</w:t>
      </w:r>
    </w:p>
    <w:p>
      <w:pPr>
        <w:pStyle w:val="BodyTextIndent"/>
        <w:spacing w:before="0" w:after="240"/>
        <w:rPr/>
      </w:pPr>
      <w:r>
        <w:rPr/>
        <w:t>A.</w:t>
        <w:tab/>
        <w:t xml:space="preserve">Yes, our marketing representatives had a number of discussions with shippers, including the undisclosed bidder.  Based on discussions with the undisclosed bidder, the marketing representative responsible for transactions with that bidder believed there was a reasonable possibility EPNG would be able to strike a prearranged deal with that party which we would then post for competitive bidding.  However, for some reason the undisclosed bidder did not move quickly to enter into an agreement with EPNG.  Once we issued our press release of February 3, 2000, announcing the termination of the Enron contracts and the date for a new open season for the capacity, I told the marketing representative that, in light of that fact, we would no longer be willing to enter into a prearranged deal with that shipper or any other shipper.  A copy of the EPNG press release is attached to this testimony as EPNG-41.  </w:t>
      </w:r>
    </w:p>
    <w:p>
      <w:pPr>
        <w:pStyle w:val="BodyTextIndent"/>
        <w:rPr/>
      </w:pPr>
      <w:r>
        <w:rPr/>
        <w:t>Q.</w:t>
        <w:tab/>
        <w:t>How were the terms of the open season held in February 2000 developed?</w:t>
      </w:r>
    </w:p>
    <w:p>
      <w:pPr>
        <w:pStyle w:val="BodyTextIndent"/>
        <w:spacing w:before="0" w:after="240"/>
        <w:rPr/>
      </w:pPr>
      <w:r>
        <w:rPr/>
        <w:t>A.</w:t>
        <w:tab/>
        <w:t xml:space="preserve">Given the contractual history, we did two things differently from our past open seasons for this capacity.  First, we decided that we would not accept any kind of negotiated rate provisions in the open season, but instead would resell the capacity only under the terms of our </w:t>
      </w:r>
      <w:r>
        <w:rPr>
          <w:i/>
          <w:iCs/>
        </w:rPr>
        <w:t xml:space="preserve">pro forma </w:t>
      </w:r>
      <w:r>
        <w:rPr/>
        <w:t xml:space="preserve">contract for firm service that had been approved by the Commission and that is included in our FERC Gas Tariff.  Second, we decided that we would make our minimum revenue requirement for this capacity public at the time we posted the notice of the open season.  </w:t>
      </w:r>
    </w:p>
    <w:p>
      <w:pPr>
        <w:pStyle w:val="BodyTextIndent"/>
        <w:rPr/>
      </w:pPr>
      <w:r>
        <w:rPr/>
        <w:t>Q.</w:t>
        <w:tab/>
        <w:t>What was the minimum revenue requirement for this capacity which EPNG established for the February 2000 open season?</w:t>
      </w:r>
    </w:p>
    <w:p>
      <w:pPr>
        <w:pStyle w:val="BodyTextIndent"/>
        <w:spacing w:before="0" w:after="240"/>
        <w:rPr/>
      </w:pPr>
      <w:r>
        <w:rPr/>
        <w:t>A.</w:t>
        <w:tab/>
        <w:t xml:space="preserve">$37.5 million for fifteen months.  </w:t>
      </w:r>
    </w:p>
    <w:p>
      <w:pPr>
        <w:pStyle w:val="BodyTextIndent"/>
        <w:rPr/>
      </w:pPr>
      <w:r>
        <w:rPr/>
        <w:t>Q.</w:t>
        <w:tab/>
        <w:t>Do you have a copy of the notice of the open season that was published on the EPNG bulletin board?</w:t>
      </w:r>
    </w:p>
    <w:p>
      <w:pPr>
        <w:pStyle w:val="BodyTextIndent"/>
        <w:spacing w:before="0" w:after="240"/>
        <w:rPr/>
      </w:pPr>
      <w:r>
        <w:rPr/>
        <w:t>A.</w:t>
        <w:tab/>
        <w:t xml:space="preserve">Yes.  EPNG-42 contains a true and correct copy of that notice.  As you will see from the notice, the open season was held from February 7, 2000, to February 14, 2000.  </w:t>
      </w:r>
    </w:p>
    <w:p>
      <w:pPr>
        <w:pStyle w:val="BodyTextIndent"/>
        <w:rPr/>
      </w:pPr>
      <w:r>
        <w:rPr/>
        <w:t>Q.</w:t>
        <w:tab/>
        <w:t>In its order issued March 28, 2001, the Commission addressed EPNG’s open season and determined that it was lawful, did it not?</w:t>
      </w:r>
    </w:p>
    <w:p>
      <w:pPr>
        <w:pStyle w:val="BodyTextIndent"/>
        <w:rPr/>
      </w:pPr>
      <w:r>
        <w:rPr/>
        <w:t>A.</w:t>
        <w:tab/>
        <w:t xml:space="preserve">Yes.  In its order, the Commission stated:  </w:t>
      </w:r>
    </w:p>
    <w:p>
      <w:pPr>
        <w:pStyle w:val="BodyTextIndent"/>
        <w:spacing w:lineRule="auto" w:line="240"/>
        <w:ind w:hanging="0" w:start="1440" w:end="720"/>
        <w:rPr/>
      </w:pPr>
      <w:r>
        <w:rPr/>
        <w:t xml:space="preserve">The current El Paso Contracts were awarded following an open season that was conducted in accordance with Commission rules and policies.  The Commission finds no merit in the allegations that the bidding process for the three blocks of capacity was skewed to favor El Paso Merchant . . . .  </w:t>
      </w:r>
    </w:p>
    <w:p>
      <w:pPr>
        <w:pStyle w:val="BodyTextIndent"/>
        <w:spacing w:lineRule="auto" w:line="240"/>
        <w:ind w:hanging="0" w:start="1440" w:end="720"/>
        <w:rPr/>
      </w:pPr>
      <w:r>
        <w:rPr/>
      </w:r>
    </w:p>
    <w:p>
      <w:pPr>
        <w:pStyle w:val="BodyTextIndent"/>
        <w:spacing w:before="0" w:after="240"/>
        <w:rPr/>
      </w:pPr>
      <w:r>
        <w:rPr>
          <w:i/>
          <w:iCs/>
        </w:rPr>
        <w:tab/>
        <w:t xml:space="preserve">Public Utilities Commission of the State of California v. El Paso Natural Gas Co., et al., </w:t>
      </w:r>
      <w:r>
        <w:rPr/>
        <w:t>94 FERC ¶ 61,338, at 62,246 (2001) ("March 28 Order").</w:t>
      </w:r>
    </w:p>
    <w:p>
      <w:pPr>
        <w:pStyle w:val="BodyTextIndent"/>
        <w:keepNext w:val="true"/>
        <w:keepLines/>
        <w:rPr/>
      </w:pPr>
      <w:r>
        <w:rPr/>
        <w:t>Q.</w:t>
        <w:tab/>
        <w:t>In its rehearing order of June 11, did the Commission identify any facts that would require any change in its conclusion in its March 28 Order?</w:t>
      </w:r>
    </w:p>
    <w:p>
      <w:pPr>
        <w:pStyle w:val="BodyTextIndent"/>
        <w:spacing w:before="0" w:after="240"/>
        <w:rPr/>
      </w:pPr>
      <w:r>
        <w:rPr/>
        <w:t>A.</w:t>
        <w:tab/>
        <w:t>No.</w:t>
      </w:r>
    </w:p>
    <w:p>
      <w:pPr>
        <w:pStyle w:val="BodyTextIndent"/>
        <w:rPr/>
      </w:pPr>
      <w:r>
        <w:rPr/>
        <w:t>Q.</w:t>
        <w:tab/>
        <w:t>Do you know of any facts that have been identified during the course of this hearing which would require any change in the Commission’s conclusion?</w:t>
      </w:r>
    </w:p>
    <w:p>
      <w:pPr>
        <w:pStyle w:val="BodyTextIndent"/>
        <w:spacing w:before="0" w:after="240"/>
        <w:rPr/>
      </w:pPr>
      <w:r>
        <w:rPr/>
        <w:t>A.</w:t>
        <w:tab/>
        <w:t>No.</w:t>
      </w:r>
    </w:p>
    <w:p>
      <w:pPr>
        <w:pStyle w:val="BodyTextIndent"/>
        <w:rPr/>
      </w:pPr>
      <w:r>
        <w:rPr/>
        <w:t>Q.</w:t>
        <w:tab/>
        <w:t>Was the open season designed to favor Merchant over all other bidders?</w:t>
      </w:r>
    </w:p>
    <w:p>
      <w:pPr>
        <w:pStyle w:val="BodyTextIndent"/>
        <w:spacing w:before="0" w:after="240"/>
        <w:rPr/>
      </w:pPr>
      <w:r>
        <w:rPr/>
        <w:t>A.</w:t>
        <w:tab/>
        <w:t>No.</w:t>
      </w:r>
    </w:p>
    <w:p>
      <w:pPr>
        <w:pStyle w:val="BodyTextIndent"/>
        <w:rPr/>
      </w:pPr>
      <w:r>
        <w:rPr/>
        <w:t>Q.</w:t>
        <w:tab/>
        <w:t>Why do you conclude that?</w:t>
      </w:r>
    </w:p>
    <w:p>
      <w:pPr>
        <w:pStyle w:val="BodyTextIndent"/>
        <w:spacing w:before="0" w:after="240"/>
        <w:rPr/>
      </w:pPr>
      <w:r>
        <w:rPr/>
        <w:t>A.</w:t>
        <w:tab/>
        <w:t>First, as you will see from EPNG-43, the Merchant contracts resulted from an open bidding process that fully disclosed the economic criteria by which EPNG would judge bids it might receive.  Thus, no bidder, including Merchant, had an informational advantage over other bidders.  Indeed, neither EPNG nor Merchant knew what any other person would bid for the capacity.  Second, the terms of the open season provided that bids for less than the full 1.2 Bcf/day of capacity would be aggregated and compared to any total package bids for purposes of determining the highest and therefore winning bid.  Thus, under this provision of El Paso's open season, if the aggregate revenues of the bids seeking small blocks of capacity had totaled more than bids seeking the entire package of available capacity, they would have been awarded the capacity (assuming they met or exceeded El Paso's disclosed minimum).  Because of this aggregation provision, smaller bidders were not disadvantaged relative to Merchant or other potential bidders for the total package of available capacity.</w:t>
      </w:r>
    </w:p>
    <w:p>
      <w:pPr>
        <w:pStyle w:val="BodyTextIndent"/>
        <w:tabs>
          <w:tab w:val="clear" w:pos="4320"/>
          <w:tab w:val="clear" w:pos="8460"/>
          <w:tab w:val="left" w:pos="720" w:leader="none"/>
          <w:tab w:val="right" w:pos="4140" w:leader="none"/>
          <w:tab w:val="right" w:pos="6120" w:leader="none"/>
          <w:tab w:val="right" w:pos="8100" w:leader="none"/>
        </w:tabs>
        <w:rPr/>
      </w:pPr>
      <w:r>
        <w:rPr/>
        <w:t>Q.</w:t>
        <w:tab/>
        <w:t>Does the use of a minimum revenue requirement favor the total package bidder more than other methods of setting minimum acceptable rates and evaluating bids?</w:t>
      </w:r>
    </w:p>
    <w:p>
      <w:pPr>
        <w:pStyle w:val="BodyTextIndent"/>
        <w:spacing w:before="0" w:after="240"/>
        <w:rPr/>
      </w:pPr>
      <w:r>
        <w:rPr/>
        <w:t>A.</w:t>
        <w:tab/>
        <w:t>No.  By developing a method of evaluating bids that aggregated partial package bids before comparing them to total package bids, I believe we did everything that we reasonably could to even the playing field between the two types of bidders.</w:t>
      </w:r>
    </w:p>
    <w:p>
      <w:pPr>
        <w:pStyle w:val="BodyTextIndent"/>
        <w:rPr/>
      </w:pPr>
      <w:r>
        <w:rPr/>
        <w:t>Q.</w:t>
        <w:tab/>
        <w:t>Do you have any other facts that you would like to call to the Commission’s attention?</w:t>
      </w:r>
    </w:p>
    <w:p>
      <w:pPr>
        <w:pStyle w:val="BodyTextIndent"/>
        <w:spacing w:before="0" w:after="240"/>
        <w:rPr/>
      </w:pPr>
      <w:r>
        <w:rPr/>
        <w:t>A.</w:t>
        <w:tab/>
        <w:t>Yes.  As noted above, based upon our view of market conditions in California at the time we announced our open season, and being informed by the deals we were able to enter into with Dynegy, the undisclosed party, and Enron, we set our minimum revenue requirement at $37.5 million.  Because the $37.5 million was only approximately 20 percent of the revenue the maximum rate would generate, we believed we should be able to achieve that revenue requirement through an aggregation of individual partial bids as well as from a single large bid.  After all, the average rate bid for the 1.2 Bcf/d of capacity would only have had to be about $0.07 per MMbtu in order for us to meet our minimum revenue requirement.  We expected our shippers, both large and small, to attribute at least that much average value to the three blocks of capacity.  Please keep in mind that, under Commission regulations, a pipeline is required to be indifferent to the person or persons to whom it sells capacity so long as that person is a creditworthy entity.</w:t>
      </w:r>
    </w:p>
    <w:p>
      <w:pPr>
        <w:pStyle w:val="BodyTextIndent"/>
        <w:keepNext w:val="true"/>
        <w:keepLines/>
        <w:tabs>
          <w:tab w:val="clear" w:pos="4320"/>
          <w:tab w:val="clear" w:pos="8460"/>
          <w:tab w:val="left" w:pos="720" w:leader="none"/>
          <w:tab w:val="right" w:pos="4140" w:leader="none"/>
          <w:tab w:val="right" w:pos="6120" w:leader="none"/>
          <w:tab w:val="right" w:pos="8100" w:leader="none"/>
        </w:tabs>
        <w:jc w:val="center"/>
        <w:rPr>
          <w:b/>
          <w:bCs/>
          <w:u w:val="single"/>
        </w:rPr>
      </w:pPr>
      <w:r>
        <w:rPr>
          <w:b/>
          <w:bCs/>
          <w:u w:val="single"/>
        </w:rPr>
        <w:t>The Mojave Discount</w:t>
      </w:r>
    </w:p>
    <w:p>
      <w:pPr>
        <w:pStyle w:val="BodyTextIndent"/>
        <w:tabs>
          <w:tab w:val="clear" w:pos="4320"/>
          <w:tab w:val="clear" w:pos="8460"/>
          <w:tab w:val="left" w:pos="720" w:leader="none"/>
          <w:tab w:val="right" w:pos="4140" w:leader="none"/>
          <w:tab w:val="right" w:pos="6120" w:leader="none"/>
          <w:tab w:val="right" w:pos="8100" w:leader="none"/>
        </w:tabs>
        <w:rPr/>
      </w:pPr>
      <w:r>
        <w:rPr/>
        <w:t>Q.</w:t>
        <w:tab/>
        <w:t>Let’s turn now to the subject of the Mojave discount that the CPUC claims was a violation of the affiliate rules.  Are you familiar with the claim the CPUC has made?</w:t>
      </w:r>
    </w:p>
    <w:p>
      <w:pPr>
        <w:pStyle w:val="BodyTextIndent"/>
        <w:tabs>
          <w:tab w:val="clear" w:pos="4320"/>
          <w:tab w:val="clear" w:pos="8460"/>
          <w:tab w:val="left" w:pos="720" w:leader="none"/>
          <w:tab w:val="right" w:pos="4140" w:leader="none"/>
          <w:tab w:val="right" w:pos="6120" w:leader="none"/>
          <w:tab w:val="right" w:pos="8100" w:leader="none"/>
        </w:tabs>
        <w:spacing w:before="0" w:after="240"/>
        <w:rPr/>
      </w:pPr>
      <w:r>
        <w:rPr/>
        <w:t>A.</w:t>
        <w:tab/>
        <w:t xml:space="preserve">Yes, I am.  The CPUC argued in its Motion for Summary Disposition in this case that Mojave and Merchant had “secretly negotiated” a lower discounted rate for interruptible transportation on the Mojave system than Mojave typically posted, that this discount was material information that should have been disclosed to other shippers, and that the fact that it was not disclosed gave Merchant a significant advantage over all other bidders.  </w:t>
      </w:r>
    </w:p>
    <w:p>
      <w:pPr>
        <w:pStyle w:val="BodyTextIndent"/>
        <w:tabs>
          <w:tab w:val="clear" w:pos="4320"/>
          <w:tab w:val="clear" w:pos="8460"/>
          <w:tab w:val="left" w:pos="720" w:leader="none"/>
          <w:tab w:val="right" w:pos="4140" w:leader="none"/>
          <w:tab w:val="right" w:pos="6120" w:leader="none"/>
          <w:tab w:val="right" w:pos="8100" w:leader="none"/>
        </w:tabs>
        <w:rPr/>
      </w:pPr>
      <w:r>
        <w:rPr/>
        <w:t>Q.</w:t>
        <w:tab/>
        <w:t>Do you agree with that claim?</w:t>
      </w:r>
    </w:p>
    <w:p>
      <w:pPr>
        <w:pStyle w:val="BodyTextIndent"/>
        <w:tabs>
          <w:tab w:val="clear" w:pos="4320"/>
          <w:tab w:val="clear" w:pos="8460"/>
          <w:tab w:val="left" w:pos="720" w:leader="none"/>
          <w:tab w:val="right" w:pos="4140" w:leader="none"/>
          <w:tab w:val="right" w:pos="6120" w:leader="none"/>
          <w:tab w:val="right" w:pos="8100" w:leader="none"/>
        </w:tabs>
        <w:spacing w:before="0" w:after="240"/>
        <w:rPr/>
      </w:pPr>
      <w:r>
        <w:rPr/>
        <w:t>A.</w:t>
        <w:tab/>
        <w:t>No, I do not.</w:t>
      </w:r>
    </w:p>
    <w:p>
      <w:pPr>
        <w:pStyle w:val="BodyTextIndent"/>
        <w:tabs>
          <w:tab w:val="clear" w:pos="4320"/>
          <w:tab w:val="clear" w:pos="8460"/>
          <w:tab w:val="left" w:pos="720" w:leader="none"/>
          <w:tab w:val="right" w:pos="4140" w:leader="none"/>
          <w:tab w:val="right" w:pos="6120" w:leader="none"/>
          <w:tab w:val="right" w:pos="8100" w:leader="none"/>
        </w:tabs>
        <w:rPr/>
      </w:pPr>
      <w:r>
        <w:rPr/>
        <w:t>Q.</w:t>
        <w:tab/>
        <w:t>Would you please explain your understanding of the facts surrounding the Mojave discount?</w:t>
      </w:r>
    </w:p>
    <w:p>
      <w:pPr>
        <w:pStyle w:val="BodyTextIndent"/>
        <w:tabs>
          <w:tab w:val="clear" w:pos="4320"/>
          <w:tab w:val="clear" w:pos="8460"/>
          <w:tab w:val="left" w:pos="720" w:leader="none"/>
          <w:tab w:val="right" w:pos="4140" w:leader="none"/>
          <w:tab w:val="right" w:pos="6120" w:leader="none"/>
          <w:tab w:val="right" w:pos="8100" w:leader="none"/>
        </w:tabs>
        <w:spacing w:before="0" w:after="240"/>
        <w:rPr/>
      </w:pPr>
      <w:r>
        <w:rPr/>
        <w:t>A.</w:t>
        <w:tab/>
        <w:t>Yes.  Before I do that, however, I would like to describe the services that Mojave provides.  Mojave is an affiliate of EPNG and extends from Topock to delivery points in and around the Bakersfield, California area.  I am the President of Mojave, and certain employees of EPNG also function as employees of Mojave.</w:t>
      </w:r>
    </w:p>
    <w:p>
      <w:pPr>
        <w:pStyle w:val="BodyTextIndent"/>
        <w:tabs>
          <w:tab w:val="clear" w:pos="4320"/>
          <w:tab w:val="clear" w:pos="8460"/>
          <w:tab w:val="left" w:pos="720" w:leader="none"/>
          <w:tab w:val="right" w:pos="4140" w:leader="none"/>
          <w:tab w:val="right" w:pos="6120" w:leader="none"/>
          <w:tab w:val="right" w:pos="8100" w:leader="none"/>
        </w:tabs>
        <w:spacing w:before="0" w:after="240"/>
        <w:rPr/>
      </w:pPr>
      <w:r>
        <w:rPr/>
        <w:tab/>
        <w:t xml:space="preserve">Mojave provides both firm and interruptible transportation service.  Mojave is fully subscribed on a firm basis under long-term contracts.  To the extent it has available capacity, it provides interruptible transportation (“IT”) service at discounted rates and has done so for a number of years.  Thus, it has been and is well known that Mojave provides IT service at discounted rates.  In fact, a $0.04 discounted rate was in effect to Wheeler Ridge in early 2000. </w:t>
      </w:r>
    </w:p>
    <w:p>
      <w:pPr>
        <w:pStyle w:val="BodyTextIndent"/>
        <w:tabs>
          <w:tab w:val="clear" w:pos="4320"/>
          <w:tab w:val="clear" w:pos="8460"/>
          <w:tab w:val="left" w:pos="720" w:leader="none"/>
          <w:tab w:val="right" w:pos="4140" w:leader="none"/>
          <w:tab w:val="right" w:pos="6120" w:leader="none"/>
          <w:tab w:val="right" w:pos="8100" w:leader="none"/>
        </w:tabs>
        <w:spacing w:before="0" w:after="240"/>
        <w:rPr/>
      </w:pPr>
      <w:r>
        <w:rPr/>
        <w:tab/>
        <w:t>In this case, I know that Mojave was approached in early February 2000 by an employee of Merchant who requested that Mojave grant Merchant a tiered discount for IT service on the Mojave system and implied that Merchant planned to bid for the EPNG capacity.</w:t>
      </w:r>
    </w:p>
    <w:p>
      <w:pPr>
        <w:pStyle w:val="BodyTextIndent"/>
        <w:tabs>
          <w:tab w:val="clear" w:pos="4320"/>
          <w:tab w:val="clear" w:pos="8460"/>
          <w:tab w:val="left" w:pos="720" w:leader="none"/>
          <w:tab w:val="right" w:pos="4140" w:leader="none"/>
          <w:tab w:val="right" w:pos="6120" w:leader="none"/>
          <w:tab w:val="right" w:pos="8100" w:leader="none"/>
        </w:tabs>
        <w:rPr/>
      </w:pPr>
      <w:r>
        <w:rPr/>
        <w:t>Q.</w:t>
        <w:tab/>
        <w:t>How is this different from what the CPUC is claiming?</w:t>
      </w:r>
    </w:p>
    <w:p>
      <w:pPr>
        <w:pStyle w:val="BodyTextIndent"/>
        <w:tabs>
          <w:tab w:val="clear" w:pos="4320"/>
          <w:tab w:val="clear" w:pos="8460"/>
          <w:tab w:val="left" w:pos="720" w:leader="none"/>
          <w:tab w:val="right" w:pos="4140" w:leader="none"/>
          <w:tab w:val="right" w:pos="6120" w:leader="none"/>
          <w:tab w:val="right" w:pos="8100" w:leader="none"/>
        </w:tabs>
        <w:spacing w:before="0" w:after="240"/>
        <w:rPr/>
      </w:pPr>
      <w:r>
        <w:rPr/>
        <w:t>A.</w:t>
        <w:tab/>
        <w:t>The difference is in the way this request for a discounted rate is characterized and the way the CPUC applies the Standards of Conduct to the facts to conclude that there has been affiliate abuse.</w:t>
      </w:r>
    </w:p>
    <w:p>
      <w:pPr>
        <w:pStyle w:val="BodyTextIndent"/>
        <w:tabs>
          <w:tab w:val="clear" w:pos="4320"/>
          <w:tab w:val="clear" w:pos="8460"/>
          <w:tab w:val="left" w:pos="720" w:leader="none"/>
          <w:tab w:val="right" w:pos="4140" w:leader="none"/>
          <w:tab w:val="right" w:pos="6120" w:leader="none"/>
          <w:tab w:val="right" w:pos="8100" w:leader="none"/>
        </w:tabs>
        <w:rPr/>
      </w:pPr>
      <w:r>
        <w:rPr/>
        <w:t>Q.</w:t>
        <w:tab/>
        <w:t>Please explain.</w:t>
      </w:r>
    </w:p>
    <w:p>
      <w:pPr>
        <w:pStyle w:val="BodyTextIndent"/>
        <w:tabs>
          <w:tab w:val="clear" w:pos="4320"/>
          <w:tab w:val="clear" w:pos="8460"/>
          <w:tab w:val="left" w:pos="720" w:leader="none"/>
          <w:tab w:val="right" w:pos="4140" w:leader="none"/>
          <w:tab w:val="right" w:pos="6120" w:leader="none"/>
          <w:tab w:val="right" w:pos="8100" w:leader="none"/>
        </w:tabs>
        <w:spacing w:before="0" w:after="240"/>
        <w:rPr/>
      </w:pPr>
      <w:r>
        <w:rPr/>
        <w:t>A.</w:t>
        <w:tab/>
        <w:t xml:space="preserve">The CPUC’s claim that the discussion of a possible discount between Mojave and Merchant is an abuse of the affiliate relationship can only be based on a presumption that the individual negotiation of a discount is the type of non-public information that should have been communicated contemporaneously to other shippers.  Although there is a standard -- Standard F -- that requires that any information related to transportation of natural gas that a pipeline provides to its marketing affiliate be provided contemporaneously to all potential shippers on the system, the problem with the CPUC’s argument is that Standard F does not apply to requests for discounts made by a marketing affiliate or any other shipper with regard to a specific transaction.  </w:t>
      </w:r>
    </w:p>
    <w:p>
      <w:pPr>
        <w:pStyle w:val="BodyTextIndent"/>
        <w:tabs>
          <w:tab w:val="clear" w:pos="4320"/>
          <w:tab w:val="clear" w:pos="8460"/>
          <w:tab w:val="left" w:pos="720" w:leader="none"/>
          <w:tab w:val="right" w:pos="4140" w:leader="none"/>
          <w:tab w:val="right" w:pos="6120" w:leader="none"/>
          <w:tab w:val="right" w:pos="8100" w:leader="none"/>
        </w:tabs>
        <w:rPr/>
      </w:pPr>
      <w:r>
        <w:rPr/>
        <w:t>Q.</w:t>
        <w:tab/>
        <w:t>Which Standard of Conduct applies to discount negotiations between a pipeline and its marketing affiliate?</w:t>
      </w:r>
    </w:p>
    <w:p>
      <w:pPr>
        <w:pStyle w:val="BodyTextIndent"/>
        <w:tabs>
          <w:tab w:val="clear" w:pos="4320"/>
          <w:tab w:val="clear" w:pos="8460"/>
          <w:tab w:val="left" w:pos="720" w:leader="none"/>
          <w:tab w:val="right" w:pos="4140" w:leader="none"/>
          <w:tab w:val="right" w:pos="6120" w:leader="none"/>
          <w:tab w:val="right" w:pos="8100" w:leader="none"/>
        </w:tabs>
        <w:spacing w:before="0" w:after="240"/>
        <w:rPr/>
      </w:pPr>
      <w:r>
        <w:rPr/>
        <w:t>A.</w:t>
        <w:tab/>
        <w:t xml:space="preserve">There is a specific standard -- Standard H -- that applies to the negotiation of rate discounts.  </w:t>
      </w:r>
    </w:p>
    <w:p>
      <w:pPr>
        <w:pStyle w:val="BodyTextIndent"/>
        <w:tabs>
          <w:tab w:val="clear" w:pos="4320"/>
          <w:tab w:val="clear" w:pos="8460"/>
          <w:tab w:val="left" w:pos="720" w:leader="none"/>
          <w:tab w:val="right" w:pos="4140" w:leader="none"/>
          <w:tab w:val="right" w:pos="6120" w:leader="none"/>
          <w:tab w:val="right" w:pos="8100" w:leader="none"/>
        </w:tabs>
        <w:rPr/>
      </w:pPr>
      <w:r>
        <w:rPr/>
        <w:t>Q.</w:t>
        <w:tab/>
        <w:t>What does Standard H require?</w:t>
      </w:r>
    </w:p>
    <w:p>
      <w:pPr>
        <w:pStyle w:val="BodyTextIndent"/>
        <w:tabs>
          <w:tab w:val="clear" w:pos="4320"/>
          <w:tab w:val="clear" w:pos="8460"/>
          <w:tab w:val="left" w:pos="720" w:leader="none"/>
          <w:tab w:val="right" w:pos="4140" w:leader="none"/>
          <w:tab w:val="right" w:pos="6120" w:leader="none"/>
          <w:tab w:val="right" w:pos="8100" w:leader="none"/>
        </w:tabs>
        <w:rPr/>
      </w:pPr>
      <w:r>
        <w:rPr/>
        <w:t>A.</w:t>
        <w:tab/>
        <w:t>Standard H reads in pertinent part as follows:</w:t>
      </w:r>
    </w:p>
    <w:p>
      <w:pPr>
        <w:pStyle w:val="BodyTextIndent"/>
        <w:tabs>
          <w:tab w:val="clear" w:pos="4320"/>
          <w:tab w:val="clear" w:pos="8460"/>
          <w:tab w:val="left" w:pos="720" w:leader="none"/>
        </w:tabs>
        <w:spacing w:lineRule="auto" w:line="240"/>
        <w:ind w:start="1440" w:end="720"/>
        <w:rPr/>
      </w:pPr>
      <w:r>
        <w:rPr/>
        <w:tab/>
        <w:t>(1) If a pipeline offers a transportation discount to an affiliated marketer . . . the pipeline must make a comparable discount contemporaneously available to all similarly situated non-affiliated shippers.</w:t>
      </w:r>
    </w:p>
    <w:p>
      <w:pPr>
        <w:pStyle w:val="BodyTextIndent"/>
        <w:tabs>
          <w:tab w:val="clear" w:pos="4320"/>
          <w:tab w:val="clear" w:pos="8460"/>
          <w:tab w:val="left" w:pos="720" w:leader="none"/>
        </w:tabs>
        <w:spacing w:lineRule="auto" w:line="240"/>
        <w:ind w:hanging="0" w:end="720"/>
        <w:rPr/>
      </w:pPr>
      <w:r>
        <w:rPr/>
      </w:r>
    </w:p>
    <w:p>
      <w:pPr>
        <w:pStyle w:val="BodyTextIndent"/>
        <w:tabs>
          <w:tab w:val="clear" w:pos="4320"/>
          <w:tab w:val="clear" w:pos="8460"/>
          <w:tab w:val="left" w:pos="720" w:leader="none"/>
        </w:tabs>
        <w:spacing w:lineRule="auto" w:line="240"/>
        <w:ind w:start="1440" w:end="720"/>
        <w:rPr/>
      </w:pPr>
      <w:r>
        <w:rPr/>
        <w:tab/>
        <w:t>(2) Within 24 hours of the time at which gas first flows under a transportation transaction in which an affiliated marketer receives a discounted rate . . . the pipeline must post a notice on its Internet web site . . . providing the name of the affiliate involved in the discounted transportation transaction, the rate charged, the maximum rate, the time period for which the discount applies, the quantity of gas scheduled to be moved, the delivery points under the transaction, any conditions or requirements applicable to the discount, and the procedures by which a non-affiliated shipper can request a comparable offer. . . . .</w:t>
      </w:r>
    </w:p>
    <w:p>
      <w:pPr>
        <w:pStyle w:val="BodyTextIndent"/>
        <w:tabs>
          <w:tab w:val="clear" w:pos="4320"/>
          <w:tab w:val="clear" w:pos="8460"/>
          <w:tab w:val="left" w:pos="720" w:leader="none"/>
        </w:tabs>
        <w:spacing w:lineRule="auto" w:line="240"/>
        <w:ind w:hanging="0" w:end="720"/>
        <w:rPr/>
      </w:pPr>
      <w:r>
        <w:rPr/>
      </w:r>
    </w:p>
    <w:p>
      <w:pPr>
        <w:pStyle w:val="BodyTextIndent"/>
        <w:tabs>
          <w:tab w:val="clear" w:pos="4320"/>
          <w:tab w:val="clear" w:pos="8460"/>
          <w:tab w:val="left" w:pos="720" w:leader="none"/>
          <w:tab w:val="right" w:pos="4140" w:leader="none"/>
          <w:tab w:val="right" w:pos="6120" w:leader="none"/>
          <w:tab w:val="right" w:pos="8100" w:leader="none"/>
        </w:tabs>
        <w:spacing w:before="0" w:after="240"/>
        <w:rPr/>
      </w:pPr>
      <w:r>
        <w:rPr/>
        <w:tab/>
        <w:t>18 C.F.R. § 161.3(h).</w:t>
      </w:r>
    </w:p>
    <w:p>
      <w:pPr>
        <w:pStyle w:val="BodyTextIndent"/>
        <w:tabs>
          <w:tab w:val="clear" w:pos="4320"/>
          <w:tab w:val="clear" w:pos="8460"/>
          <w:tab w:val="left" w:pos="720" w:leader="none"/>
          <w:tab w:val="right" w:pos="4140" w:leader="none"/>
          <w:tab w:val="right" w:pos="6120" w:leader="none"/>
          <w:tab w:val="right" w:pos="8100" w:leader="none"/>
        </w:tabs>
        <w:rPr/>
      </w:pPr>
      <w:r>
        <w:rPr/>
        <w:t>Q.</w:t>
        <w:tab/>
        <w:t>Why do you believe this is the standard that applies to the communications between Merchant and Mojave regarding a discount on the Mojave system?</w:t>
      </w:r>
    </w:p>
    <w:p>
      <w:pPr>
        <w:pStyle w:val="BodyTextIndent"/>
        <w:tabs>
          <w:tab w:val="clear" w:pos="4320"/>
          <w:tab w:val="clear" w:pos="8460"/>
          <w:tab w:val="left" w:pos="720" w:leader="none"/>
          <w:tab w:val="right" w:pos="4140" w:leader="none"/>
          <w:tab w:val="right" w:pos="6120" w:leader="none"/>
          <w:tab w:val="right" w:pos="8100" w:leader="none"/>
        </w:tabs>
        <w:spacing w:before="0" w:after="240"/>
        <w:rPr/>
      </w:pPr>
      <w:r>
        <w:rPr/>
        <w:t>A.</w:t>
        <w:tab/>
        <w:t>I believe this is the appropriate standard in light of the facts underlying these discussions.  As I stated earlier, an employee of Merchant, Mr. Robin Cox, initially contacted Mojave in early February 2000 and asked about the availability of a term discount based on volumes transported.  On February 9, 2000, Mr. Cox again called Mr. Rodman and again inquired about Merchant’s wanting a tiered discount based on the volumes transported.  Mr. Rodman stated that he could “probably” offer Merchant a discounted rate of $0.04 per MMBtu for volumes of 1-50,000 MMBtu/d, $0.03 per MMBtu for volumes of 50,001</w:t>
        <w:noBreakHyphen/>
        <w:t>100,000 MMBtu/d, and $0.02 per MMBtu for volumes above 100,000 MMBtu/d.  Mr. Rodman also stated that Mojave would have to provide the discount to all other shippers.  A copy of the transcript of the telephone conversations between Mr. Cox and Mr. Rodman is attached hereto as EPNG-44.</w:t>
      </w:r>
    </w:p>
    <w:p>
      <w:pPr>
        <w:pStyle w:val="BodyTextIndent"/>
        <w:tabs>
          <w:tab w:val="clear" w:pos="4320"/>
          <w:tab w:val="clear" w:pos="8460"/>
          <w:tab w:val="left" w:pos="720" w:leader="none"/>
          <w:tab w:val="right" w:pos="4140" w:leader="none"/>
          <w:tab w:val="right" w:pos="6120" w:leader="none"/>
          <w:tab w:val="right" w:pos="8100" w:leader="none"/>
        </w:tabs>
        <w:rPr/>
      </w:pPr>
      <w:r>
        <w:rPr/>
        <w:t>Q.</w:t>
        <w:tab/>
        <w:t>What happened then?</w:t>
      </w:r>
    </w:p>
    <w:p>
      <w:pPr>
        <w:pStyle w:val="BodyTextIndent"/>
        <w:tabs>
          <w:tab w:val="clear" w:pos="4320"/>
          <w:tab w:val="clear" w:pos="8460"/>
          <w:tab w:val="left" w:pos="720" w:leader="none"/>
          <w:tab w:val="right" w:pos="4140" w:leader="none"/>
          <w:tab w:val="right" w:pos="6120" w:leader="none"/>
          <w:tab w:val="right" w:pos="8100" w:leader="none"/>
        </w:tabs>
        <w:spacing w:before="0" w:after="240"/>
        <w:rPr/>
      </w:pPr>
      <w:r>
        <w:rPr/>
        <w:t>A.</w:t>
        <w:tab/>
        <w:t xml:space="preserve">Mr. Rodman sought the approval of the requested discount from Mr. Jerry Strange, the Director of Transportation Marketing.  Mr. Strange approved the discount, but only to the Wheeler Ridge delivery point on the Mojave system.  </w:t>
      </w:r>
    </w:p>
    <w:p>
      <w:pPr>
        <w:pStyle w:val="BodyTextIndent"/>
        <w:tabs>
          <w:tab w:val="clear" w:pos="4320"/>
          <w:tab w:val="clear" w:pos="8460"/>
          <w:tab w:val="left" w:pos="720" w:leader="none"/>
          <w:tab w:val="right" w:pos="4140" w:leader="none"/>
          <w:tab w:val="right" w:pos="6120" w:leader="none"/>
          <w:tab w:val="right" w:pos="8100" w:leader="none"/>
        </w:tabs>
        <w:spacing w:before="0" w:after="240"/>
        <w:rPr/>
      </w:pPr>
      <w:r>
        <w:rPr/>
        <w:tab/>
        <w:t xml:space="preserve">On February 16, 2000, Merchant sent Mojave an e-mail in which it submitted its request for a discount but changed the terms slightly.  Instead of the $0.03 rate applying to volumes up to 100,000 MMBtu/d as had been previously discussed, Merchant asked that that rate apply up to 75,000 MMBtu/d only, and that the $0.02 rate apply from 75,001 to 100,000 MMBtu/d.  Over 100,000 MMBtu, Merchant requested a $0.01 per MMBtu rate.  A copy of this e-mail is attached is EPNG-45.  </w:t>
      </w:r>
    </w:p>
    <w:p>
      <w:pPr>
        <w:pStyle w:val="BodyTextIndent"/>
        <w:tabs>
          <w:tab w:val="clear" w:pos="4320"/>
          <w:tab w:val="clear" w:pos="8460"/>
          <w:tab w:val="left" w:pos="720" w:leader="none"/>
          <w:tab w:val="right" w:pos="4140" w:leader="none"/>
          <w:tab w:val="right" w:pos="6120" w:leader="none"/>
          <w:tab w:val="right" w:pos="8100" w:leader="none"/>
        </w:tabs>
        <w:spacing w:before="0" w:after="240"/>
        <w:rPr/>
      </w:pPr>
      <w:r>
        <w:rPr/>
        <w:tab/>
        <w:t>However, having given approval for the discount originally discussed, but not the discount requested in the February 16 e-mail, Mr. Strange posted the discount he originally approved on Mojave’s bulletin board on February 18, 2000.  A copy of the posted Notice to Customers is attached as EPNG-46.</w:t>
      </w:r>
    </w:p>
    <w:p>
      <w:pPr>
        <w:pStyle w:val="BodyTextIndent"/>
        <w:tabs>
          <w:tab w:val="clear" w:pos="4320"/>
          <w:tab w:val="clear" w:pos="8460"/>
          <w:tab w:val="left" w:pos="720" w:leader="none"/>
          <w:tab w:val="right" w:pos="4140" w:leader="none"/>
          <w:tab w:val="right" w:pos="6120" w:leader="none"/>
          <w:tab w:val="right" w:pos="8100" w:leader="none"/>
        </w:tabs>
        <w:rPr/>
      </w:pPr>
      <w:r>
        <w:rPr/>
        <w:t>Q.</w:t>
        <w:tab/>
        <w:t>Is it true that Merchant knew Mojave was going to grant this discount prior to the February 18 posting?</w:t>
      </w:r>
    </w:p>
    <w:p>
      <w:pPr>
        <w:pStyle w:val="BodyTextIndent"/>
        <w:tabs>
          <w:tab w:val="clear" w:pos="4320"/>
          <w:tab w:val="clear" w:pos="8460"/>
          <w:tab w:val="left" w:pos="720" w:leader="none"/>
          <w:tab w:val="right" w:pos="4140" w:leader="none"/>
          <w:tab w:val="right" w:pos="6120" w:leader="none"/>
          <w:tab w:val="right" w:pos="8100" w:leader="none"/>
        </w:tabs>
        <w:spacing w:before="0" w:after="240"/>
        <w:rPr/>
      </w:pPr>
      <w:r>
        <w:rPr/>
        <w:t>A.</w:t>
        <w:tab/>
        <w:t>I cannot testify as to what Merchant “knew.”  I understand that Mr. Rodman did not formally communicate Mr. Strange’s approval of that discount to Mr. Cox except by posting the notice of a tiered discount on the bulletin board.</w:t>
      </w:r>
    </w:p>
    <w:p>
      <w:pPr>
        <w:pStyle w:val="BodyTextIndent"/>
        <w:tabs>
          <w:tab w:val="clear" w:pos="4320"/>
          <w:tab w:val="clear" w:pos="8460"/>
          <w:tab w:val="left" w:pos="720" w:leader="none"/>
          <w:tab w:val="right" w:pos="4140" w:leader="none"/>
          <w:tab w:val="right" w:pos="6120" w:leader="none"/>
          <w:tab w:val="right" w:pos="8100" w:leader="none"/>
        </w:tabs>
        <w:rPr/>
      </w:pPr>
      <w:r>
        <w:rPr/>
        <w:t>Q.</w:t>
        <w:tab/>
        <w:t>How does this sequence of events conform to the requirements of Standard H, the standard you believe applies to these discussions?</w:t>
      </w:r>
    </w:p>
    <w:p>
      <w:pPr>
        <w:pStyle w:val="BodyTextIndent"/>
        <w:tabs>
          <w:tab w:val="clear" w:pos="4320"/>
          <w:tab w:val="clear" w:pos="8460"/>
          <w:tab w:val="left" w:pos="720" w:leader="none"/>
          <w:tab w:val="right" w:pos="4140" w:leader="none"/>
          <w:tab w:val="right" w:pos="6120" w:leader="none"/>
          <w:tab w:val="right" w:pos="8100" w:leader="none"/>
        </w:tabs>
        <w:spacing w:before="0" w:after="240"/>
        <w:rPr/>
      </w:pPr>
      <w:r>
        <w:rPr/>
        <w:t>A.</w:t>
        <w:tab/>
        <w:t xml:space="preserve">Standard H requires that, when a pipeline offers a discount to an affiliated marketer, it must post that discount on its web site, which is where Mojave’s and EPNG’s bulletin board is located, no later than 24 hours after the gas first flows at the discounted rate.  Not only did Mojave post the discount, but it posted it well in advance of the time required in Standard H.  As the Notice to Customers states, the tiered discount requested by Merchant became effective on March 1, 2000.  Under Standard H, assuming that Merchant commenced to flow gas at that discounted rate on the first day it was available, Mojave would have had to post the discount no later than March 2.  Mojave actually posted the discount on February 18, a full thirteen days </w:t>
      </w:r>
      <w:r>
        <w:rPr>
          <w:u w:val="single"/>
        </w:rPr>
        <w:t>earlier</w:t>
      </w:r>
      <w:r>
        <w:rPr/>
        <w:t xml:space="preserve"> than it was required by Standard H to make the posting.</w:t>
      </w:r>
    </w:p>
    <w:p>
      <w:pPr>
        <w:pStyle w:val="BodyTextIndent"/>
        <w:tabs>
          <w:tab w:val="clear" w:pos="4320"/>
          <w:tab w:val="clear" w:pos="8460"/>
          <w:tab w:val="left" w:pos="720" w:leader="none"/>
          <w:tab w:val="right" w:pos="4140" w:leader="none"/>
          <w:tab w:val="right" w:pos="6120" w:leader="none"/>
          <w:tab w:val="right" w:pos="8100" w:leader="none"/>
        </w:tabs>
        <w:rPr/>
      </w:pPr>
      <w:r>
        <w:rPr/>
        <w:t>Q.</w:t>
        <w:tab/>
        <w:t>What has the Commission said about this allegation raised by the CPUC?</w:t>
      </w:r>
    </w:p>
    <w:p>
      <w:pPr>
        <w:pStyle w:val="BodyTextIndent"/>
        <w:tabs>
          <w:tab w:val="clear" w:pos="4320"/>
          <w:tab w:val="clear" w:pos="8460"/>
          <w:tab w:val="left" w:pos="720" w:leader="none"/>
          <w:tab w:val="right" w:pos="4140" w:leader="none"/>
          <w:tab w:val="right" w:pos="6120" w:leader="none"/>
          <w:tab w:val="right" w:pos="8100" w:leader="none"/>
        </w:tabs>
        <w:rPr/>
      </w:pPr>
      <w:r>
        <w:rPr/>
        <w:t>A.</w:t>
        <w:tab/>
        <w:t>In its March 28 order, the Commission found as follows:</w:t>
      </w:r>
    </w:p>
    <w:p>
      <w:pPr>
        <w:pStyle w:val="BodyText"/>
        <w:spacing w:before="0" w:after="0"/>
        <w:ind w:hanging="720" w:start="1440" w:end="720"/>
        <w:rPr/>
      </w:pPr>
      <w:r>
        <w:rPr/>
        <w:tab/>
        <w:t>[T]he Commission does not prohibit marketing companies from arranging transportation and related discounts with their pipeline affiliates.  In addition, the Commission finds no evidence that El Paso Merchant received any information, in violation of Standard of Conduct F, related to the transportation of its gas that was not available to other potential shippers. . . .  Likewise, the Commission does not find a violation of Standard of Conduct H(2) which establishes the requirements for posting affiliate transactions involving discounted transportation.  Under that standard, Mojave was under no obligation to post affiliate discount information until the time at which gas first flowed under the transaction, although it actually posted the discount prior to the March 1, 2000 effective date of the El Paso Contracts.</w:t>
      </w:r>
    </w:p>
    <w:p>
      <w:pPr>
        <w:pStyle w:val="BodyText"/>
        <w:spacing w:before="0" w:after="0"/>
        <w:ind w:start="720" w:end="720"/>
        <w:rPr/>
      </w:pPr>
      <w:r>
        <w:rPr/>
      </w:r>
    </w:p>
    <w:p>
      <w:pPr>
        <w:pStyle w:val="BodyText"/>
        <w:spacing w:before="0" w:after="0"/>
        <w:ind w:hanging="720" w:start="1440" w:end="720"/>
        <w:rPr/>
      </w:pPr>
      <w:r>
        <w:rPr/>
        <w:tab/>
        <w:t>As stated above, the Commission does not prohibit marketing companies from arranging transportation and related discounts with their pipeline affiliates.  The Commission's examination of the record before it, including Protected Materials, reveals no violation of the Affiliate Standards.</w:t>
      </w:r>
    </w:p>
    <w:p>
      <w:pPr>
        <w:pStyle w:val="BodyText"/>
        <w:spacing w:before="0" w:after="0"/>
        <w:ind w:start="720" w:end="720"/>
        <w:rPr/>
      </w:pPr>
      <w:r>
        <w:rPr/>
      </w:r>
    </w:p>
    <w:p>
      <w:pPr>
        <w:pStyle w:val="BodyTextIndent"/>
        <w:tabs>
          <w:tab w:val="clear" w:pos="4320"/>
          <w:tab w:val="clear" w:pos="8460"/>
          <w:tab w:val="left" w:pos="720" w:leader="none"/>
          <w:tab w:val="right" w:pos="4140" w:leader="none"/>
          <w:tab w:val="right" w:pos="6120" w:leader="none"/>
          <w:tab w:val="right" w:pos="8100" w:leader="none"/>
        </w:tabs>
        <w:spacing w:before="0" w:after="240"/>
        <w:rPr/>
      </w:pPr>
      <w:r>
        <w:rPr/>
        <w:tab/>
        <w:t>94 FERC at 62,254.</w:t>
      </w:r>
    </w:p>
    <w:p>
      <w:pPr>
        <w:pStyle w:val="BodyTextIndent"/>
        <w:tabs>
          <w:tab w:val="clear" w:pos="4320"/>
          <w:tab w:val="clear" w:pos="8460"/>
          <w:tab w:val="left" w:pos="720" w:leader="none"/>
          <w:tab w:val="right" w:pos="4140" w:leader="none"/>
          <w:tab w:val="right" w:pos="6120" w:leader="none"/>
          <w:tab w:val="right" w:pos="8100" w:leader="none"/>
        </w:tabs>
        <w:rPr/>
      </w:pPr>
      <w:r>
        <w:rPr/>
        <w:t>Q.</w:t>
        <w:tab/>
        <w:t>Did the Commission make any findings in its June 11 Order on Rehearing that would require a change to the findings in the March 28 Order?</w:t>
      </w:r>
    </w:p>
    <w:p>
      <w:pPr>
        <w:pStyle w:val="BodyTextIndent"/>
        <w:tabs>
          <w:tab w:val="clear" w:pos="4320"/>
          <w:tab w:val="clear" w:pos="8460"/>
          <w:tab w:val="left" w:pos="720" w:leader="none"/>
          <w:tab w:val="right" w:pos="4140" w:leader="none"/>
          <w:tab w:val="right" w:pos="6120" w:leader="none"/>
          <w:tab w:val="right" w:pos="8100" w:leader="none"/>
        </w:tabs>
        <w:spacing w:before="0" w:after="240"/>
        <w:rPr/>
      </w:pPr>
      <w:r>
        <w:rPr/>
        <w:t>A.</w:t>
        <w:tab/>
        <w:t>No.</w:t>
      </w:r>
    </w:p>
    <w:p>
      <w:pPr>
        <w:pStyle w:val="BodyTextIndent"/>
        <w:tabs>
          <w:tab w:val="clear" w:pos="4320"/>
          <w:tab w:val="clear" w:pos="8460"/>
          <w:tab w:val="left" w:pos="720" w:leader="none"/>
          <w:tab w:val="right" w:pos="4140" w:leader="none"/>
          <w:tab w:val="right" w:pos="6120" w:leader="none"/>
          <w:tab w:val="right" w:pos="8100" w:leader="none"/>
        </w:tabs>
        <w:rPr/>
      </w:pPr>
      <w:r>
        <w:rPr/>
        <w:t>Q.</w:t>
        <w:tab/>
        <w:t>Do you know of any additional facts that have arisen in this proceeding that require a change in the Commission’s conclusion?</w:t>
      </w:r>
    </w:p>
    <w:p>
      <w:pPr>
        <w:pStyle w:val="BodyTextIndent"/>
        <w:tabs>
          <w:tab w:val="clear" w:pos="4320"/>
          <w:tab w:val="clear" w:pos="8460"/>
          <w:tab w:val="left" w:pos="720" w:leader="none"/>
          <w:tab w:val="right" w:pos="4140" w:leader="none"/>
          <w:tab w:val="right" w:pos="6120" w:leader="none"/>
          <w:tab w:val="right" w:pos="8100" w:leader="none"/>
        </w:tabs>
        <w:spacing w:before="0" w:after="240"/>
        <w:rPr/>
      </w:pPr>
      <w:r>
        <w:rPr/>
        <w:t>A.</w:t>
        <w:tab/>
        <w:t>No.</w:t>
      </w:r>
    </w:p>
    <w:p>
      <w:pPr>
        <w:pStyle w:val="BodyTextIndent"/>
        <w:tabs>
          <w:tab w:val="clear" w:pos="4320"/>
          <w:tab w:val="clear" w:pos="8460"/>
          <w:tab w:val="left" w:pos="720" w:leader="none"/>
          <w:tab w:val="right" w:pos="4140" w:leader="none"/>
          <w:tab w:val="right" w:pos="6120" w:leader="none"/>
          <w:tab w:val="right" w:pos="8100" w:leader="none"/>
        </w:tabs>
        <w:rPr/>
      </w:pPr>
      <w:r>
        <w:rPr/>
        <w:t>Q.</w:t>
        <w:tab/>
        <w:t>Does this conclude your testimony?</w:t>
      </w:r>
    </w:p>
    <w:p>
      <w:pPr>
        <w:pStyle w:val="BodyTextIndent"/>
        <w:tabs>
          <w:tab w:val="clear" w:pos="4320"/>
          <w:tab w:val="clear" w:pos="8460"/>
          <w:tab w:val="left" w:pos="720" w:leader="none"/>
          <w:tab w:val="right" w:pos="4140" w:leader="none"/>
          <w:tab w:val="right" w:pos="6120" w:leader="none"/>
          <w:tab w:val="right" w:pos="8100" w:leader="none"/>
        </w:tabs>
        <w:spacing w:before="0" w:after="240"/>
        <w:rPr/>
      </w:pPr>
      <w:r>
        <w:rPr/>
        <w:t>A.</w:t>
        <w:tab/>
        <w:t>Yes, it does.</w:t>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6">
              <wp:simplePos x="0" y="0"/>
              <wp:positionH relativeFrom="page">
                <wp:posOffset>915035</wp:posOffset>
              </wp:positionH>
              <wp:positionV relativeFrom="page">
                <wp:align>bottom</wp:align>
              </wp:positionV>
              <wp:extent cx="622935" cy="365760"/>
              <wp:effectExtent l="0" t="0" r="0" b="0"/>
              <wp:wrapSquare wrapText="bothSides"/>
              <wp:docPr id="1" name="Frame2"/>
              <a:graphic xmlns:a="http://schemas.openxmlformats.org/drawingml/2006/main">
                <a:graphicData uri="http://schemas.microsoft.com/office/word/2010/wordprocessingShape">
                  <wps:wsp>
                    <wps:cNvSpPr txBox="1"/>
                    <wps:spPr>
                      <a:xfrm>
                        <a:off x="0" y="0"/>
                        <a:ext cx="622935"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WAS:88232.1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WAS:88232.1 </w:t>
                    </w:r>
                    <w:r>
                      <w:rPr>
                        <w:rStyle w:val="DocID"/>
                        <w:sz w:val="16"/>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30">
              <wp:simplePos x="0" y="0"/>
              <wp:positionH relativeFrom="margin">
                <wp:align>center</wp:align>
              </wp:positionH>
              <wp:positionV relativeFrom="paragraph">
                <wp:posOffset>635</wp:posOffset>
              </wp:positionV>
              <wp:extent cx="153035" cy="175260"/>
              <wp:effectExtent l="0" t="0" r="0" b="0"/>
              <wp:wrapSquare wrapText="bothSides"/>
              <wp:docPr id="2" name="Frame3"/>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1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align>bottom</wp:align>
              </wp:positionV>
              <wp:extent cx="622935" cy="365760"/>
              <wp:effectExtent l="0" t="0" r="0" b="0"/>
              <wp:wrapSquare wrapText="bothSides"/>
              <wp:docPr id="3" name="Frame1"/>
              <a:graphic xmlns:a="http://schemas.openxmlformats.org/drawingml/2006/main">
                <a:graphicData uri="http://schemas.microsoft.com/office/word/2010/wordprocessingShape">
                  <wps:wsp>
                    <wps:cNvSpPr txBox="1"/>
                    <wps:spPr>
                      <a:xfrm>
                        <a:off x="0" y="0"/>
                        <a:ext cx="622935" cy="36576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WAS:88232.1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WAS:88232.1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right" w:pos="8460" w:leader="none"/>
        <w:tab w:val="right" w:pos="8640" w:leader="none"/>
      </w:tabs>
      <w:rPr/>
    </w:pPr>
    <w:r>
      <w:rPr/>
      <w:tab/>
      <w:tab/>
    </w:r>
    <w:r>
      <w:rPr>
        <w:b/>
        <w:bCs/>
      </w:rPr>
      <w:t>EPNG-38</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right" w:pos="8460" w:leader="none"/>
        <w:tab w:val="right" w:pos="8640" w:leader="none"/>
      </w:tabs>
      <w:rPr/>
    </w:pPr>
    <w:r>
      <w:rPr/>
      <w:tab/>
      <w:tab/>
    </w:r>
    <w:r>
      <w:rPr>
        <w:b/>
        <w:bCs/>
      </w:rPr>
      <w:t xml:space="preserve">EPNG-38 </w:t>
    </w:r>
  </w:p>
  <w:p>
    <w:pPr>
      <w:pStyle w:val="Header"/>
      <w:tabs>
        <w:tab w:val="center" w:pos="4320" w:leader="none"/>
        <w:tab w:val="right" w:pos="8460" w:leader="none"/>
        <w:tab w:val="right" w:pos="8640" w:leader="none"/>
      </w:tabs>
      <w:rPr>
        <w:b/>
        <w:bCs/>
      </w:rPr>
    </w:pPr>
    <w:r>
      <w:rPr>
        <w:b/>
        <w:bCs/>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4320" w:leader="none"/>
        <w:tab w:val="right" w:pos="8460" w:leader="none"/>
      </w:tabs>
      <w:jc w:val="center"/>
      <w:outlineLvl w:val="0"/>
    </w:pPr>
    <w:rPr>
      <w:b/>
      <w:bC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LineNumber">
    <w:name w:val="line number"/>
    <w:basedOn w:val="DefaultParagraphFont"/>
    <w:rPr/>
  </w:style>
  <w:style w:type="character" w:styleId="PageNumber">
    <w:name w:val="page number"/>
    <w:basedOn w:val="DefaultParagraphFont"/>
    <w:rPr/>
  </w:style>
  <w:style w:type="character" w:styleId="DocID">
    <w:name w:val="DocID"/>
    <w:basedOn w:val="DefaultParagraphFont"/>
    <w:qFormat/>
    <w:rPr>
      <w:sz w:val="12"/>
    </w:rPr>
  </w:style>
  <w:style w:type="paragraph" w:styleId="Heading">
    <w:name w:val="Heading"/>
    <w:basedOn w:val="Normal"/>
    <w:next w:val="BodyText"/>
    <w:qFormat/>
    <w:pPr>
      <w:jc w:val="center"/>
    </w:pPr>
    <w:rPr>
      <w:b/>
      <w:bCs/>
    </w:rPr>
  </w:style>
  <w:style w:type="paragraph" w:styleId="BodyText">
    <w:name w:val="Body Text"/>
    <w:basedOn w:val="Normal"/>
    <w:pPr>
      <w:spacing w:before="0" w:after="2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numPr>
        <w:ilvl w:val="0"/>
        <w:numId w:val="2"/>
      </w:numPr>
      <w:spacing w:before="0" w:after="120"/>
      <w:jc w:val="start"/>
    </w:pPr>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left" w:pos="720" w:leader="none"/>
        <w:tab w:val="left" w:pos="4320" w:leader="none"/>
        <w:tab w:val="right" w:pos="8460" w:leader="none"/>
      </w:tabs>
      <w:spacing w:lineRule="auto" w:line="480"/>
      <w:ind w:hanging="720" w:start="720" w:end="0"/>
    </w:pPr>
    <w:rPr/>
  </w:style>
  <w:style w:type="paragraph" w:styleId="BodyTextIndent3">
    <w:name w:val="Body Text Indent 3"/>
    <w:basedOn w:val="Normal"/>
    <w:qFormat/>
    <w:pPr>
      <w:spacing w:lineRule="auto" w:line="480"/>
      <w:ind w:hanging="0" w:start="720" w:end="0"/>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2001-07-13T16:58:00Z</dcterms:created>
  <dc:creator>El Paso Energy Corp</dc:creator>
  <dc:description/>
  <dc:language>en-CA</dc:language>
  <cp:lastModifiedBy>A&amp;K</cp:lastModifiedBy>
  <cp:lastPrinted>2001-07-12T10:11:00Z</cp:lastPrinted>
  <dcterms:modified xsi:type="dcterms:W3CDTF">2001-07-13T17:31:00Z</dcterms:modified>
  <cp:revision>3</cp:revision>
  <dc:subject/>
  <dc:title>UNITED STATES OF AMERICA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WAS:88232.1 </vt:lpwstr>
  </property>
</Properties>
</file>