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6"/>
        </w:rPr>
      </w:pPr>
      <w:r>
        <w:rPr>
          <w:rFonts w:ascii="Times New Roman" w:hAnsi="Times New Roman"/>
          <w:b/>
          <w:sz w:val="26"/>
        </w:rPr>
        <w:t>UNITED STATES OF AMERICA</w:t>
      </w:r>
    </w:p>
    <w:p>
      <w:pPr>
        <w:pStyle w:val="Normal"/>
        <w:bidi w:val="0"/>
        <w:spacing w:lineRule="atLeast" w:line="0"/>
        <w:jc w:val="start"/>
        <w:rPr>
          <w:rFonts w:ascii="Times New Roman" w:hAnsi="Times New Roman"/>
          <w:b/>
          <w:sz w:val="26"/>
        </w:rPr>
      </w:pPr>
      <w:r>
        <w:rPr>
          <w:rFonts w:ascii="Times New Roman" w:hAnsi="Times New Roman"/>
          <w:b/>
          <w:sz w:val="26"/>
        </w:rPr>
        <w:t>FEDERAL ENERGY REGULATORY COMMISSION</w:t>
        <w:tab/>
        <w:tab/>
        <w:tab/>
        <w:tab/>
        <w:tab/>
        <w:tab/>
        <w:tab/>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start"/>
        <w:rPr>
          <w:rFonts w:ascii="Times New Roman" w:hAnsi="Times New Roman"/>
          <w:b/>
          <w:sz w:val="26"/>
        </w:rPr>
      </w:pPr>
      <w:r>
        <w:rPr>
          <w:rFonts w:ascii="Times New Roman" w:hAnsi="Times New Roman"/>
          <w:b/>
          <w:sz w:val="26"/>
        </w:rPr>
        <w:t>Public Utilities Commission</w:t>
        <w:tab/>
        <w:tab/>
        <w:tab/>
        <w:tab/>
      </w:r>
    </w:p>
    <w:p>
      <w:pPr>
        <w:pStyle w:val="Normal"/>
        <w:bidi w:val="0"/>
        <w:spacing w:lineRule="atLeast" w:line="0"/>
        <w:jc w:val="start"/>
        <w:rPr>
          <w:rFonts w:ascii="Times New Roman" w:hAnsi="Times New Roman"/>
          <w:b/>
          <w:sz w:val="26"/>
        </w:rPr>
      </w:pPr>
      <w:r>
        <w:rPr>
          <w:rFonts w:ascii="Times New Roman" w:hAnsi="Times New Roman"/>
          <w:b/>
          <w:sz w:val="26"/>
        </w:rPr>
        <w:tab/>
        <w:t>of the State of California</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start"/>
        <w:rPr>
          <w:rFonts w:ascii="Times New Roman" w:hAnsi="Times New Roman"/>
          <w:b/>
          <w:sz w:val="26"/>
        </w:rPr>
      </w:pPr>
      <w:r>
        <w:rPr>
          <w:rFonts w:ascii="Times New Roman" w:hAnsi="Times New Roman"/>
          <w:b/>
          <w:sz w:val="26"/>
        </w:rPr>
        <w:tab/>
        <w:tab/>
        <w:t>v.</w:t>
        <w:tab/>
        <w:tab/>
        <w:tab/>
        <w:tab/>
        <w:tab/>
        <w:tab/>
        <w:t>Docket No. RP00-241-000</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b/>
          <w:sz w:val="26"/>
        </w:rPr>
      </w:pPr>
      <w:r>
        <w:rPr>
          <w:rFonts w:ascii="Times New Roman" w:hAnsi="Times New Roman"/>
          <w:b/>
          <w:sz w:val="26"/>
        </w:rPr>
        <w:t>El Paso Natural Gas Company</w:t>
      </w:r>
    </w:p>
    <w:p>
      <w:pPr>
        <w:pStyle w:val="Normal"/>
        <w:bidi w:val="0"/>
        <w:spacing w:lineRule="atLeast" w:line="0"/>
        <w:jc w:val="start"/>
        <w:rPr>
          <w:rFonts w:ascii="Times New Roman" w:hAnsi="Times New Roman"/>
          <w:b/>
          <w:sz w:val="26"/>
        </w:rPr>
      </w:pPr>
      <w:r>
        <w:rPr>
          <w:rFonts w:ascii="Times New Roman" w:hAnsi="Times New Roman"/>
          <w:b/>
          <w:sz w:val="26"/>
        </w:rPr>
        <w:t>El Paso Merchant Energy Gas, L.P.</w:t>
      </w:r>
    </w:p>
    <w:p>
      <w:pPr>
        <w:pStyle w:val="Normal"/>
        <w:bidi w:val="0"/>
        <w:spacing w:lineRule="atLeast" w:line="0"/>
        <w:jc w:val="start"/>
        <w:rPr>
          <w:rFonts w:ascii="Times New Roman" w:hAnsi="Times New Roman"/>
          <w:sz w:val="26"/>
        </w:rPr>
      </w:pPr>
      <w:r>
        <w:rPr>
          <w:rFonts w:ascii="Times New Roman" w:hAnsi="Times New Roman"/>
          <w:b/>
          <w:sz w:val="26"/>
        </w:rPr>
        <w:t>El Paso Merchant Energy Company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center"/>
        <w:rPr>
          <w:rFonts w:ascii="Times New Roman" w:hAnsi="Times New Roman"/>
          <w:b/>
          <w:sz w:val="26"/>
        </w:rPr>
      </w:pPr>
      <w:r>
        <w:rPr>
          <w:rFonts w:ascii="Times New Roman" w:hAnsi="Times New Roman"/>
          <w:b/>
          <w:sz w:val="26"/>
        </w:rPr>
        <w:t>CHIEF JUDGE'S REPORT TO THE COMMISSION,</w:t>
      </w:r>
    </w:p>
    <w:p>
      <w:pPr>
        <w:pStyle w:val="Normal"/>
        <w:bidi w:val="0"/>
        <w:spacing w:lineRule="atLeast" w:line="0"/>
        <w:jc w:val="center"/>
        <w:rPr>
          <w:rFonts w:ascii="Times New Roman" w:hAnsi="Times New Roman"/>
          <w:b/>
          <w:sz w:val="26"/>
        </w:rPr>
      </w:pPr>
      <w:r>
        <w:rPr>
          <w:rFonts w:ascii="Times New Roman" w:hAnsi="Times New Roman"/>
          <w:b/>
          <w:sz w:val="26"/>
        </w:rPr>
        <w:t>REQUEST TO WAIVE INITIAL DECISION DATE,</w:t>
      </w:r>
    </w:p>
    <w:p>
      <w:pPr>
        <w:pStyle w:val="Normal"/>
        <w:bidi w:val="0"/>
        <w:spacing w:lineRule="atLeast" w:line="0"/>
        <w:jc w:val="center"/>
        <w:rPr>
          <w:rFonts w:ascii="Times New Roman" w:hAnsi="Times New Roman"/>
          <w:b/>
          <w:sz w:val="26"/>
        </w:rPr>
      </w:pPr>
      <w:r>
        <w:rPr>
          <w:rFonts w:ascii="Times New Roman" w:hAnsi="Times New Roman"/>
          <w:b/>
          <w:sz w:val="26"/>
        </w:rPr>
        <w:t>AND REQUEST FOR GUIDANCE</w:t>
      </w:r>
    </w:p>
    <w:p>
      <w:pPr>
        <w:pStyle w:val="Normal"/>
        <w:bidi w:val="0"/>
        <w:spacing w:lineRule="atLeast" w:line="0"/>
        <w:jc w:val="center"/>
        <w:rPr>
          <w:rFonts w:ascii="Times New Roman" w:hAnsi="Times New Roman"/>
          <w:b/>
          <w:sz w:val="26"/>
        </w:rPr>
      </w:pPr>
      <w:r>
        <w:rPr>
          <w:rFonts w:ascii="Times New Roman" w:hAnsi="Times New Roman"/>
          <w:b/>
          <w:sz w:val="26"/>
        </w:rPr>
      </w:r>
    </w:p>
    <w:p>
      <w:pPr>
        <w:pStyle w:val="Normal"/>
        <w:bidi w:val="0"/>
        <w:spacing w:lineRule="atLeast" w:line="0"/>
        <w:jc w:val="center"/>
        <w:rPr>
          <w:rFonts w:ascii="Times New Roman" w:hAnsi="Times New Roman"/>
          <w:b/>
          <w:sz w:val="26"/>
        </w:rPr>
      </w:pPr>
      <w:r>
        <w:rPr>
          <w:rFonts w:ascii="Times New Roman" w:hAnsi="Times New Roman"/>
          <w:b/>
          <w:sz w:val="26"/>
        </w:rPr>
        <w:t>(Issued May 31, 2001)</w:t>
      </w:r>
    </w:p>
    <w:p>
      <w:pPr>
        <w:pStyle w:val="Normal"/>
        <w:bidi w:val="0"/>
        <w:spacing w:lineRule="atLeast" w:line="0"/>
        <w:jc w:val="start"/>
        <w:rPr>
          <w:rFonts w:ascii="Times New Roman" w:hAnsi="Times New Roman"/>
          <w:b/>
          <w:sz w:val="26"/>
        </w:rPr>
      </w:pPr>
      <w:r>
        <w:rPr>
          <w:rFonts w:ascii="Times New Roman" w:hAnsi="Times New Roman"/>
          <w:b/>
          <w:sz w:val="26"/>
        </w:rPr>
        <w:t>TO THE COMMISSION:</w:t>
        <w:tab/>
      </w:r>
    </w:p>
    <w:p>
      <w:pPr>
        <w:pStyle w:val="Normal"/>
        <w:tabs>
          <w:tab w:val="left" w:pos="720" w:leader="none"/>
        </w:tabs>
        <w:bidi w:val="0"/>
        <w:spacing w:lineRule="atLeast" w:line="0"/>
        <w:ind w:hanging="720" w:start="720"/>
        <w:jc w:val="start"/>
        <w:rPr>
          <w:rFonts w:ascii="Times New Roman" w:hAnsi="Times New Roman"/>
          <w:b/>
          <w:sz w:val="26"/>
        </w:rPr>
      </w:pPr>
      <w:r>
        <w:rPr>
          <w:rFonts w:ascii="Times New Roman" w:hAnsi="Times New Roman"/>
          <w:sz w:val="26"/>
        </w:rPr>
        <w:tab/>
      </w:r>
    </w:p>
    <w:p>
      <w:pPr>
        <w:pStyle w:val="Normal"/>
        <w:bidi w:val="0"/>
        <w:spacing w:lineRule="atLeast" w:line="0"/>
        <w:jc w:val="start"/>
        <w:rPr>
          <w:rFonts w:ascii="Times New Roman" w:hAnsi="Times New Roman"/>
          <w:sz w:val="26"/>
        </w:rPr>
      </w:pPr>
      <w:r>
        <w:rPr>
          <w:rFonts w:ascii="Times New Roman" w:hAnsi="Times New Roman"/>
          <w:sz w:val="26"/>
        </w:rPr>
        <w:tab/>
        <w:t xml:space="preserve">This case has proven to be much more complex than anyone imagined.    To date, there have been 17 days of hearing, with a record that contains more than three linear feet of exhibits and over 2,700 pages of cross-examination.    In addition to this record, there will be at least six rebuttal witnesses beginning tomorrow, with the hearing expected to continue throughout next week. 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The Commission in its March 28, 2001, order setting this case for hearing, ordered the presiding judge to issue an initial decision within 60 days from the date of the order.    The Commission in its order on rehearing in this case issued on April 18, 2001, extended that date to 105 days from the date of the March 28, 2001.    This would make the initial decision due no later than July 12, 2001.    Under this schedule, initial briefs would be due tomorrow, June 1, 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4"/>
        </w:rPr>
      </w:pPr>
      <w:r>
        <w:rPr>
          <w:rFonts w:ascii="Times New Roman" w:hAnsi="Times New Roman"/>
          <w:sz w:val="26"/>
        </w:rPr>
        <w:tab/>
        <w:t xml:space="preserve">The parties unanimously asked the Chief Judge to request the Commission to waive the initial decision date in order that they would have sufficient time to prepare meaningful    briefs and accurate proposed findings of fact on the huge record in this case.      While the Chief Judge feels that there is no question additional time must be allowed in order to conclude the hearing and to ensure due process for all parties, he believes that because of the importance of this case, the concern over the higher prices in California than in any other part of the country, and the National interest the case is receiving, it must be moved along as rapidly as possible.    Under these circumstances, the Chief Judge </w:t>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Normal"/>
        <w:bidi w:val="0"/>
        <w:spacing w:lineRule="atLeast" w:line="0"/>
        <w:jc w:val="start"/>
        <w:rPr>
          <w:rFonts w:ascii="Times New Roman" w:hAnsi="Times New Roman"/>
          <w:sz w:val="24"/>
        </w:rPr>
      </w:pPr>
      <w:r>
        <w:rPr>
          <w:rFonts w:ascii="Times New Roman" w:hAnsi="Times New Roman"/>
          <w:sz w:val="24"/>
        </w:rPr>
        <w:t xml:space="preserve">recommends that the parties be given 30 days from June 8, 2001–the anticipated date for the conclusion of the hearing, or July 9, 2001--for filing proposed findings of fact and initial briefs.    The Chief Judge further recommends that reply briefs be filed no later than 15 days thereafter, or on July 24, 2001.    He will make every effort to issue    the initial decision, with findings of fact, within 30 days after reply briefs are filed.    Under these circumstances, it is requested that the Commission waive the initial decision date in this case.    Since it is hoped that the hearing will conclude by June 8, 2001, it is requested that the Commission act before that date.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On page 20 of the slip March 28, 2001, order establishing the hearing herein, the Commission stated: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6"/>
        </w:rPr>
      </w:pPr>
      <w:r>
        <w:rPr>
          <w:rFonts w:ascii="Times New Roman" w:hAnsi="Times New Roman"/>
          <w:sz w:val="24"/>
        </w:rPr>
        <w:tab/>
        <w:t xml:space="preserve">As stated above, the Commission does not prohibit marketing companies from arranging transportation and related discounts with their pipeline affiliates.    The Commission's examination of the </w:t>
      </w:r>
      <w:r>
        <w:rPr>
          <w:rFonts w:ascii="Times New Roman" w:hAnsi="Times New Roman"/>
          <w:sz w:val="26"/>
          <w:u w:val="single"/>
        </w:rPr>
        <w:t>record before it</w:t>
      </w:r>
      <w:r>
        <w:rPr>
          <w:rFonts w:ascii="Times New Roman" w:hAnsi="Times New Roman"/>
          <w:sz w:val="26"/>
        </w:rPr>
        <w:t>, including Protected Materials, reveals no violation of the Affiliate Standards.      Nevertheless, while the evidence in the</w:t>
      </w:r>
      <w:r>
        <w:rPr>
          <w:rFonts w:ascii="Times New Roman" w:hAnsi="Times New Roman"/>
          <w:sz w:val="26"/>
          <w:u w:val="single"/>
        </w:rPr>
        <w:t xml:space="preserve"> existing record</w:t>
      </w:r>
      <w:r>
        <w:rPr>
          <w:rFonts w:ascii="Times New Roman" w:hAnsi="Times New Roman"/>
          <w:sz w:val="26"/>
        </w:rPr>
        <w:t xml:space="preserve"> does not show that El Paso Pipeline and El Paso Merchant violated the Commission's Affiliate Standards, the CPUC and the interveners    have cited internal El Paso Pipeline communications that they claim show evidence that El Paso Pipeline and El Paso Merchant </w:t>
      </w:r>
      <w:r>
        <w:rPr>
          <w:rFonts w:ascii="Times New Roman" w:hAnsi="Times New Roman"/>
          <w:sz w:val="26"/>
          <w:u w:val="single"/>
        </w:rPr>
        <w:t>intended to manipulate the market</w:t>
      </w:r>
      <w:r>
        <w:rPr>
          <w:rFonts w:ascii="Times New Roman" w:hAnsi="Times New Roman"/>
          <w:sz w:val="26"/>
        </w:rPr>
        <w:t xml:space="preserve"> (Footnote omitted).    These documents and the three studies presented by Edison, El Paso Pipeline, and El Paso Merchant raise doubt about whether El Paso Merchant had market power and, if so, exercised it so as to increase natural gas prices at the California border.    The Commission is concerned about </w:t>
      </w:r>
      <w:r>
        <w:rPr>
          <w:rFonts w:ascii="Times New Roman" w:hAnsi="Times New Roman"/>
          <w:sz w:val="26"/>
          <w:u w:val="single"/>
        </w:rPr>
        <w:t>these allegations</w:t>
      </w:r>
      <w:r>
        <w:rPr>
          <w:rFonts w:ascii="Times New Roman" w:hAnsi="Times New Roman"/>
          <w:sz w:val="26"/>
        </w:rPr>
        <w:t>, and directs the ALJ to compile a record on this issue. (Emphasis added)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The underscored portions of that paragraph tend to indicate that the finding of no violation of the Affiliate Standards was based solely on the paper record before the Commission at that point in time, and that the Commission intended for the Chief Judge to compile a more complete record on that question and make findings as to whether such a violation, if it existed, contributed to the alleged exercise of market power by El Paso Natural Gas Company and/or El Paso Merchant Energy-Gas L.P.    Guidance from the Commission on this issue is requested before the conclusion of the hearing if possible.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b/>
        <w:tab/>
        <w:tab/>
        <w:tab/>
        <w:tab/>
        <w:tab/>
        <w:tab/>
        <w:t>Curtis L. Wagner, Jr.</w:t>
      </w:r>
    </w:p>
    <w:p>
      <w:pPr>
        <w:pStyle w:val="Normal"/>
        <w:bidi w:val="0"/>
        <w:spacing w:lineRule="atLeast" w:line="0"/>
        <w:jc w:val="start"/>
        <w:rPr>
          <w:rFonts w:ascii="Times New Roman" w:hAnsi="Times New Roman"/>
          <w:sz w:val="24"/>
        </w:rPr>
      </w:pPr>
      <w:r>
        <w:rPr>
          <w:rFonts w:ascii="Times New Roman" w:hAnsi="Times New Roman"/>
          <w:sz w:val="26"/>
        </w:rPr>
        <w:tab/>
        <w:tab/>
        <w:tab/>
        <w:tab/>
        <w:tab/>
        <w:tab/>
        <w:tab/>
        <w:t>Chief Administrative Law Judge</w:t>
      </w:r>
    </w:p>
    <w:sectPr>
      <w:type w:val="continuous"/>
      <w:pgSz w:w="12240" w:h="15840"/>
      <w:pgMar w:left="1440" w:right="1440" w:gutter="0" w:header="0" w:top="1440"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