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sz w:val="36"/>
        </w:rPr>
      </w:pPr>
      <w:r>
        <w:rPr>
          <w:sz w:val="36"/>
        </w:rPr>
        <w:t>Enron Metals</w:t>
      </w:r>
    </w:p>
    <w:p>
      <w:pPr>
        <w:pStyle w:val="Heading3"/>
        <w:ind w:hanging="0" w:start="0"/>
        <w:rPr/>
      </w:pPr>
      <w:r>
        <w:rPr/>
        <w:t>Risk Management &amp; Trade Accounting</w:t>
      </w:r>
    </w:p>
    <w:p>
      <w:pPr>
        <w:pStyle w:val="Heading2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object w:dxaOrig="5730" w:dyaOrig="1329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704.5pt;height:163.3pt" filled="f" o:ole="">
            <v:imagedata r:id="rId3" o:title=""/>
          </v:shape>
          <o:OLEObject Type="Embed" ProgID="" ShapeID="ole_rId2" DrawAspect="Content" ObjectID="_442275680" r:id="rId2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Notes: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Nicky Taylor currently carries out extensive work relating to clean-up of data capture for the Agency business in New York. This needs to be staffed locally in New York to ensure correct entry first time.</w:t>
      </w:r>
    </w:p>
    <w:p>
      <w:pPr>
        <w:pStyle w:val="Normal"/>
        <w:numPr>
          <w:ilvl w:val="0"/>
          <w:numId w:val="2"/>
        </w:numPr>
        <w:rPr/>
      </w:pPr>
      <w:r>
        <w:rPr/>
        <w:t>Depending upon how this reduces workload in the UK it may be necessary to acquire additional resource to cover Nicky Taylor’s maternity leave i.e. have a net additional resource.</w:t>
      </w:r>
    </w:p>
    <w:sectPr>
      <w:type w:val="nextPage"/>
      <w:pgSz w:orient="landscape" w:w="16838" w:h="11906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GB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sz w:val="24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2000-10-04T10:28:00Z</dcterms:created>
  <dc:creator>ACornfie</dc:creator>
  <dc:description/>
  <dc:language>en-CA</dc:language>
  <cp:lastModifiedBy>TPoullai</cp:lastModifiedBy>
  <dcterms:modified xsi:type="dcterms:W3CDTF">2000-10-04T10:28:00Z</dcterms:modified>
  <cp:revision>2</cp:revision>
  <dc:subject/>
  <dc:title>Enron Metals</dc:title>
</cp:coreProperties>
</file>