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360"/>
        <w:ind w:hanging="0" w:start="0"/>
        <w:rPr/>
      </w:pPr>
      <w:r>
        <w:rPr/>
        <w:t>GPG Systems - 2001 Capital Project Profile</w:t>
      </w:r>
    </w:p>
    <w:tbl>
      <w:tblPr>
        <w:tblW w:w="93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360"/>
        <w:gridCol w:w="900"/>
        <w:gridCol w:w="1296"/>
        <w:gridCol w:w="144"/>
        <w:gridCol w:w="216"/>
        <w:gridCol w:w="564"/>
        <w:gridCol w:w="1440"/>
        <w:gridCol w:w="840"/>
        <w:gridCol w:w="1440"/>
        <w:gridCol w:w="36"/>
      </w:tblGrid>
      <w:tr>
        <w:trPr/>
        <w:tc>
          <w:tcPr>
            <w:tcW w:w="244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ing2"/>
              <w:spacing w:before="100" w:after="0"/>
              <w:jc w:val="start"/>
              <w:rPr/>
            </w:pPr>
            <w:r>
              <w:rPr/>
              <w:t>Project Name</w:t>
            </w:r>
          </w:p>
        </w:tc>
        <w:tc>
          <w:tcPr>
            <w:tcW w:w="6840" w:type="dxa"/>
            <w:gridSpan w:val="8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20"/>
              <w:rPr/>
            </w:pPr>
            <w:r>
              <w:rPr/>
              <w:t>Revenue Management – Phase I</w:t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ing2"/>
              <w:spacing w:before="100" w:after="0"/>
              <w:jc w:val="start"/>
              <w:rPr/>
            </w:pPr>
            <w:r>
              <w:rPr/>
              <w:t>Project Description</w:t>
            </w:r>
          </w:p>
        </w:tc>
        <w:tc>
          <w:tcPr>
            <w:tcW w:w="684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bidi w:val="0"/>
              <w:spacing w:before="60" w:after="60"/>
              <w:rPr/>
            </w:pPr>
            <w:r>
              <w:rPr/>
              <w:t>Marketing Business Initiative to Increase Revenues</w:t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ing2"/>
              <w:spacing w:before="100" w:after="0"/>
              <w:jc w:val="start"/>
              <w:rPr/>
            </w:pPr>
            <w:r>
              <w:rPr/>
              <w:t>Total Estimated Cost</w:t>
            </w:r>
          </w:p>
        </w:tc>
        <w:tc>
          <w:tcPr>
            <w:tcW w:w="6840" w:type="dxa"/>
            <w:gridSpan w:val="8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20"/>
              <w:rPr/>
            </w:pPr>
            <w:r>
              <w:rPr/>
              <w:t>1,000,000.00 (Remaining 2001 $ of RM Phase I of $5.7MM)</w:t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gridSpan w:val="2"/>
            <w:tcBorders>
              <w:top w:val="single" w:sz="6" w:space="0" w:color="000000"/>
              <w:start w:val="single" w:sz="12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TableHeading2"/>
              <w:spacing w:before="100" w:after="0"/>
              <w:jc w:val="start"/>
              <w:rPr/>
            </w:pPr>
            <w:r>
              <w:rPr/>
              <w:t>Cost by Company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TableHeading2"/>
              <w:widowControl/>
              <w:bidi w:val="0"/>
              <w:spacing w:before="100" w:after="0"/>
              <w:jc w:val="center"/>
              <w:rPr/>
            </w:pPr>
            <w:r>
              <w:rPr/>
              <w:t>NNG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20"/>
              <w:rPr/>
            </w:pPr>
            <w:r>
              <w:rPr/>
              <w:t>800,000.00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TableHeading2"/>
              <w:widowControl/>
              <w:bidi w:val="0"/>
              <w:spacing w:before="100" w:after="0"/>
              <w:jc w:val="center"/>
              <w:rPr/>
            </w:pPr>
            <w:r>
              <w:rPr/>
              <w:t>TW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20"/>
              <w:rPr/>
            </w:pPr>
            <w:r>
              <w:rPr/>
              <w:t>200,000.00</w:t>
            </w:r>
          </w:p>
        </w:tc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TableHeading2"/>
              <w:widowControl/>
              <w:bidi w:val="0"/>
              <w:spacing w:before="100" w:after="0"/>
              <w:jc w:val="center"/>
              <w:rPr/>
            </w:pPr>
            <w:r>
              <w:rPr/>
              <w:t>FGT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12" w:space="0" w:color="000000"/>
            </w:tcBorders>
          </w:tcPr>
          <w:p>
            <w:pPr>
              <w:pStyle w:val="body1"/>
              <w:snapToGrid w:val="false"/>
              <w:spacing w:before="60" w:after="20"/>
              <w:rPr/>
            </w:pPr>
            <w:r>
              <w:rPr/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ing2"/>
              <w:spacing w:before="100" w:after="0"/>
              <w:jc w:val="start"/>
              <w:rPr/>
            </w:pPr>
            <w:r>
              <w:rPr/>
              <w:t>Non-Discretionary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body1"/>
              <w:snapToGrid w:val="false"/>
              <w:spacing w:before="60" w:after="20"/>
              <w:rPr/>
            </w:pPr>
            <w:r>
              <w:rPr/>
            </w:r>
          </w:p>
        </w:tc>
        <w:tc>
          <w:tcPr>
            <w:tcW w:w="2196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ing2"/>
              <w:widowControl/>
              <w:bidi w:val="0"/>
              <w:spacing w:before="100" w:after="0"/>
              <w:jc w:val="center"/>
              <w:rPr/>
            </w:pPr>
            <w:r>
              <w:rPr/>
              <w:t>Discretionary</w:t>
            </w:r>
          </w:p>
        </w:tc>
        <w:tc>
          <w:tcPr>
            <w:tcW w:w="36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body1"/>
              <w:spacing w:before="60" w:after="20"/>
              <w:rPr/>
            </w:pPr>
            <w:r>
              <w:rPr/>
              <w:t>x</w:t>
            </w:r>
          </w:p>
        </w:tc>
        <w:tc>
          <w:tcPr>
            <w:tcW w:w="4320" w:type="dxa"/>
            <w:gridSpan w:val="5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20"/>
              <w:rPr/>
            </w:pPr>
            <w:r>
              <w:rPr/>
              <w:t>Part of RM Phase I Approval of $5.7MM</w:t>
            </w:r>
          </w:p>
        </w:tc>
      </w:tr>
      <w:tr>
        <w:trPr/>
        <w:tc>
          <w:tcPr>
            <w:tcW w:w="928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Heading2"/>
              <w:spacing w:before="100" w:after="0"/>
              <w:jc w:val="start"/>
              <w:rPr/>
            </w:pPr>
            <w:r>
              <w:rPr/>
              <w:t>Business Benefit</w:t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9288" w:type="dxa"/>
            <w:gridSpan w:val="10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1"/>
              <w:spacing w:before="60" w:after="20"/>
              <w:rPr/>
            </w:pPr>
            <w:r>
              <w:rPr/>
              <w:t xml:space="preserve">The remaining capital needed to complete Phase I of Revenue Management (RM).  RM Phase I is an earnings driven business initiative which will set up an infrastructure goal of people, processes and systems to close the revenue gap.  The economics for this $1MM is inter-twined with the $4.7MM being spent in 2000.  If the $1MM is not expended in 2001, it will put at risk the proficiency factors of RM Phase I and could impact revenues (net of expenses) by $550K, $646K, $924K and $1.221MM for the years 2001-2004 respectively, with a total negative impact of $3.3MM by the end of 2004. The impact to our Expected Cash Flow (NPV) could go from $1.516MM to $(205K). </w:t>
            </w:r>
          </w:p>
          <w:p>
            <w:pPr>
              <w:pStyle w:val="body1"/>
              <w:spacing w:before="60" w:after="20"/>
              <w:rPr/>
            </w:pPr>
            <w:r>
              <w:rPr/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9288" w:type="dxa"/>
            <w:gridSpan w:val="10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Heading2"/>
              <w:spacing w:before="100" w:after="0"/>
              <w:jc w:val="start"/>
              <w:rPr/>
            </w:pPr>
            <w:r>
              <w:rPr/>
              <w:t>Business/Technical Functionality</w:t>
            </w:r>
          </w:p>
          <w:p>
            <w:pPr>
              <w:pStyle w:val="TableHeading2"/>
              <w:jc w:val="start"/>
              <w:rPr>
                <w:rFonts w:ascii="Garamond" w:hAnsi="Garamond" w:cs="Garamond"/>
                <w:i w:val="false"/>
                <w:i w:val="false"/>
                <w:sz w:val="24"/>
              </w:rPr>
            </w:pPr>
            <w:r>
              <w:rPr>
                <w:rFonts w:cs="Garamond" w:ascii="Garamond" w:hAnsi="Garamond"/>
                <w:i w:val="false"/>
                <w:sz w:val="24"/>
              </w:rPr>
              <w:t>The remaining $1MM of capital dollars for RM Phase I will provide for the completion of the following components:</w:t>
            </w:r>
          </w:p>
          <w:p>
            <w:pPr>
              <w:pStyle w:val="TableHeading2"/>
              <w:jc w:val="start"/>
              <w:rPr/>
            </w:pPr>
            <w:r>
              <w:rPr>
                <w:rFonts w:cs="Garamond" w:ascii="Garamond" w:hAnsi="Garamond"/>
                <w:b/>
                <w:i w:val="false"/>
                <w:sz w:val="24"/>
              </w:rPr>
              <w:t xml:space="preserve">Dashboard:  </w:t>
            </w:r>
            <w:r>
              <w:rPr>
                <w:rFonts w:cs="Garamond" w:ascii="Garamond" w:hAnsi="Garamond"/>
                <w:i w:val="false"/>
                <w:sz w:val="24"/>
              </w:rPr>
              <w:t>Enhancements to alerts and personalization capabilities.</w:t>
            </w:r>
          </w:p>
          <w:p>
            <w:pPr>
              <w:pStyle w:val="TableHeading2"/>
              <w:jc w:val="start"/>
              <w:rPr>
                <w:rFonts w:ascii="Garamond" w:hAnsi="Garamond" w:cs="Garamond"/>
                <w:b/>
                <w:i w:val="false"/>
                <w:i w:val="false"/>
                <w:sz w:val="24"/>
              </w:rPr>
            </w:pPr>
            <w:r>
              <w:rPr>
                <w:rFonts w:cs="Garamond" w:ascii="Garamond" w:hAnsi="Garamond"/>
                <w:b/>
                <w:i w:val="false"/>
                <w:sz w:val="24"/>
              </w:rPr>
            </w:r>
          </w:p>
          <w:p>
            <w:pPr>
              <w:pStyle w:val="TableHeading2"/>
              <w:jc w:val="start"/>
              <w:rPr/>
            </w:pPr>
            <w:r>
              <w:rPr>
                <w:rFonts w:cs="Garamond" w:ascii="Garamond" w:hAnsi="Garamond"/>
                <w:b/>
                <w:i w:val="false"/>
                <w:sz w:val="24"/>
              </w:rPr>
              <w:t xml:space="preserve">Risk Books: </w:t>
            </w:r>
            <w:r>
              <w:rPr>
                <w:rFonts w:cs="Garamond" w:ascii="Garamond" w:hAnsi="Garamond"/>
                <w:i w:val="false"/>
                <w:sz w:val="24"/>
              </w:rPr>
              <w:t xml:space="preserve">Interface TW into Risk Book Structure.  </w:t>
            </w:r>
          </w:p>
          <w:p>
            <w:pPr>
              <w:pStyle w:val="TableHeading2"/>
              <w:jc w:val="start"/>
              <w:rPr>
                <w:rFonts w:ascii="Garamond" w:hAnsi="Garamond" w:cs="Garamond"/>
                <w:i w:val="false"/>
                <w:i w:val="false"/>
                <w:sz w:val="24"/>
              </w:rPr>
            </w:pPr>
            <w:r>
              <w:rPr>
                <w:rFonts w:eastAsia="Garamond" w:cs="Garamond" w:ascii="Garamond" w:hAnsi="Garamond"/>
                <w:i w:val="false"/>
                <w:sz w:val="24"/>
              </w:rPr>
              <w:t xml:space="preserve">                      </w:t>
            </w:r>
            <w:r>
              <w:rPr>
                <w:rFonts w:cs="Garamond" w:ascii="Garamond" w:hAnsi="Garamond"/>
                <w:i w:val="false"/>
                <w:sz w:val="24"/>
              </w:rPr>
              <w:t>Enhancements to existing books for NNG.</w:t>
            </w:r>
          </w:p>
          <w:p>
            <w:pPr>
              <w:pStyle w:val="TableHeading2"/>
              <w:jc w:val="start"/>
              <w:rPr>
                <w:rFonts w:ascii="Garamond" w:hAnsi="Garamond" w:cs="Garamond"/>
                <w:b/>
                <w:i w:val="false"/>
                <w:i w:val="false"/>
                <w:sz w:val="24"/>
              </w:rPr>
            </w:pPr>
            <w:r>
              <w:rPr>
                <w:rFonts w:cs="Garamond" w:ascii="Garamond" w:hAnsi="Garamond"/>
                <w:b/>
                <w:i w:val="false"/>
                <w:sz w:val="24"/>
              </w:rPr>
            </w:r>
          </w:p>
          <w:p>
            <w:pPr>
              <w:pStyle w:val="TableHeading2"/>
              <w:jc w:val="start"/>
              <w:rPr/>
            </w:pPr>
            <w:r>
              <w:rPr>
                <w:rFonts w:cs="Garamond" w:ascii="Garamond" w:hAnsi="Garamond"/>
                <w:b/>
                <w:i w:val="false"/>
                <w:sz w:val="24"/>
              </w:rPr>
              <w:t xml:space="preserve">Pipeline Profile: </w:t>
            </w:r>
            <w:r>
              <w:rPr>
                <w:rFonts w:cs="Garamond" w:ascii="Garamond" w:hAnsi="Garamond"/>
                <w:i w:val="false"/>
                <w:sz w:val="24"/>
              </w:rPr>
              <w:t>Interface TW into Pipeline Profile.</w:t>
            </w:r>
          </w:p>
          <w:p>
            <w:pPr>
              <w:pStyle w:val="TableHeading2"/>
              <w:jc w:val="start"/>
              <w:rPr/>
            </w:pPr>
            <w:r>
              <w:rPr>
                <w:rFonts w:eastAsia="Garamond" w:cs="Garamond" w:ascii="Garamond" w:hAnsi="Garamond"/>
                <w:b/>
                <w:i w:val="false"/>
                <w:sz w:val="24"/>
              </w:rPr>
              <w:t xml:space="preserve">                           </w:t>
            </w:r>
            <w:r>
              <w:rPr>
                <w:rFonts w:cs="Garamond" w:ascii="Garamond" w:hAnsi="Garamond"/>
                <w:i w:val="false"/>
                <w:sz w:val="24"/>
              </w:rPr>
              <w:t>NNG/TW pipeline view of individual preferences.</w:t>
            </w:r>
          </w:p>
          <w:p>
            <w:pPr>
              <w:pStyle w:val="TableHeading2"/>
              <w:jc w:val="start"/>
              <w:rPr>
                <w:rFonts w:ascii="Garamond" w:hAnsi="Garamond" w:cs="Garamond"/>
                <w:i w:val="false"/>
                <w:i w:val="false"/>
                <w:sz w:val="24"/>
              </w:rPr>
            </w:pPr>
            <w:r>
              <w:rPr>
                <w:rFonts w:eastAsia="Garamond" w:cs="Garamond" w:ascii="Garamond" w:hAnsi="Garamond"/>
                <w:i w:val="false"/>
                <w:sz w:val="24"/>
              </w:rPr>
              <w:t xml:space="preserve">                              </w:t>
            </w:r>
            <w:r>
              <w:rPr>
                <w:rFonts w:cs="Garamond" w:ascii="Garamond" w:hAnsi="Garamond"/>
                <w:i w:val="false"/>
                <w:sz w:val="24"/>
              </w:rPr>
              <w:t>Enhancements to NNG Pipeline Profile.</w:t>
            </w:r>
          </w:p>
          <w:p>
            <w:pPr>
              <w:pStyle w:val="TableHeading2"/>
              <w:jc w:val="start"/>
              <w:rPr/>
            </w:pPr>
            <w:r>
              <w:rPr>
                <w:rFonts w:cs="Garamond" w:ascii="Garamond" w:hAnsi="Garamond"/>
                <w:b/>
                <w:i w:val="false"/>
                <w:sz w:val="24"/>
              </w:rPr>
              <w:t xml:space="preserve">Forecasting and Optimization:  </w:t>
            </w:r>
            <w:r>
              <w:rPr>
                <w:rFonts w:cs="Garamond" w:ascii="Garamond" w:hAnsi="Garamond"/>
                <w:i w:val="false"/>
                <w:sz w:val="24"/>
              </w:rPr>
              <w:t xml:space="preserve">Proof of concept for overall pipeline Forecasting and                 </w:t>
            </w:r>
          </w:p>
          <w:p>
            <w:pPr>
              <w:pStyle w:val="TableHeading2"/>
              <w:jc w:val="start"/>
              <w:rPr/>
            </w:pPr>
            <w:r>
              <w:rPr>
                <w:rFonts w:eastAsia="Garamond" w:cs="Garamond" w:ascii="Garamond" w:hAnsi="Garamond"/>
                <w:b/>
                <w:i w:val="false"/>
                <w:sz w:val="24"/>
              </w:rPr>
              <w:t xml:space="preserve">                           </w:t>
            </w:r>
            <w:r>
              <w:rPr>
                <w:rFonts w:cs="Garamond" w:ascii="Garamond" w:hAnsi="Garamond"/>
                <w:i w:val="false"/>
                <w:sz w:val="24"/>
              </w:rPr>
              <w:t>Optimization models.</w:t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9288" w:type="dxa"/>
            <w:gridSpan w:val="10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1"/>
              <w:snapToGrid w:val="false"/>
              <w:spacing w:before="60" w:after="20"/>
              <w:rPr/>
            </w:pPr>
            <w:r>
              <w:rPr/>
            </w:r>
          </w:p>
        </w:tc>
        <w:tc>
          <w:tcPr>
            <w:tcW w:w="3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body1"/>
        <w:spacing w:before="60" w:after="2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288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/mnt/main-storage/datasets/enron-docs/doc/RM_Analy_Phase_I_2001_1MM.doc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/mnt/main-storage/datasets/enron-docs/doc/RM_Analy_Phase_I_2001_1MM.doc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DATE \@"M\/d\/yy\ H:mm:ss\ AM/PM"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9/28/25 9:09:09 AM</w:t>
    </w:r>
    <w:r>
      <w:rPr>
        <w:sz w:val="12"/>
        <w:b/>
        <w:rFonts w:cs="Arial" w:ascii="Arial" w:hAnsi="Arial"/>
      </w:rPr>
      <w:fldChar w:fldCharType="end"/>
    </w:r>
    <w:r>
      <w:rPr/>
      <w:tab/>
      <w:t>Type Document Title or Other Identifying Information Here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bookmarkStart w:id="0" w:name="_986362471"/>
    <w:bookmarkStart w:id="1" w:name="_986362457"/>
    <w:bookmarkEnd w:id="0"/>
    <w:bookmarkEnd w:id="1"/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645663792" r:id="rId1"/>
      </w:object>
    </w:r>
    <w:r>
      <w:rPr/>
      <w:t>Enron Gas Pipeline Group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i/>
      <w:color w:val="000080"/>
      <w:kern w:val="2"/>
      <w:sz w:val="28"/>
      <w:szCs w:val="20"/>
      <w:lang w:val="en-US" w:bidi="ar-SA" w:eastAsia="zh-C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240" w:after="80"/>
      <w:outlineLvl w:val="1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240" w:after="80"/>
      <w:outlineLvl w:val="2"/>
    </w:pPr>
    <w:rPr>
      <w:rFonts w:ascii="Arial Black" w:hAnsi="Arial Black" w:eastAsia="Times New Roman" w:cs="Arial Black"/>
      <w:i/>
      <w:color w:val="808080"/>
      <w:sz w:val="20"/>
      <w:szCs w:val="20"/>
      <w:lang w:val="en-US" w:bidi="ar-SA" w:eastAsia="zh-CN"/>
    </w:rPr>
  </w:style>
  <w:style w:type="paragraph" w:styleId="Heading4">
    <w:name w:val="heading 4"/>
    <w:next w:val="body1"/>
    <w:qFormat/>
    <w:pPr>
      <w:keepNext w:val="true"/>
      <w:widowControl/>
      <w:numPr>
        <w:ilvl w:val="3"/>
        <w:numId w:val="1"/>
      </w:numPr>
      <w:bidi w:val="0"/>
      <w:spacing w:before="240" w:after="80"/>
      <w:outlineLvl w:val="3"/>
    </w:pPr>
    <w:rPr>
      <w:rFonts w:ascii="Arial" w:hAnsi="Arial" w:eastAsia="Times New Roman" w:cs="Arial"/>
      <w:b/>
      <w:i/>
      <w:color w:val="808080"/>
      <w:sz w:val="18"/>
      <w:szCs w:val="20"/>
      <w:u w:val="thick"/>
      <w:lang w:val="en-US" w:bidi="ar-SA" w:eastAsia="zh-CN"/>
    </w:rPr>
  </w:style>
  <w:style w:type="paragraph" w:styleId="Heading5">
    <w:name w:val="heading 5"/>
    <w:next w:val="body1"/>
    <w:qFormat/>
    <w:pPr>
      <w:keepNext w:val="true"/>
      <w:widowControl/>
      <w:numPr>
        <w:ilvl w:val="4"/>
        <w:numId w:val="1"/>
      </w:numPr>
      <w:bidi w:val="0"/>
      <w:spacing w:before="240" w:after="80"/>
      <w:outlineLvl w:val="4"/>
    </w:pPr>
    <w:rPr>
      <w:rFonts w:ascii="Arial Narrow" w:hAnsi="Arial Narrow" w:eastAsia="Times New Roman" w:cs="Arial Narrow"/>
      <w:b/>
      <w:i/>
      <w:color w:val="808080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5z0">
    <w:name w:val="WW8Num5z0"/>
    <w:qFormat/>
    <w:rPr>
      <w:rFonts w:ascii="Wingdings" w:hAnsi="Wingdings" w:cs="Wingdings"/>
      <w:b/>
      <w:i w:val="false"/>
      <w:sz w:val="18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b/>
      <w:i w:val="false"/>
      <w:sz w:val="18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b/>
      <w:i w:val="false"/>
      <w:sz w:val="18"/>
    </w:rPr>
  </w:style>
  <w:style w:type="character" w:styleId="WW8Num12z1">
    <w:name w:val="WW8Num12z1"/>
    <w:qFormat/>
    <w:rPr>
      <w:rFonts w:ascii="Arial Black" w:hAnsi="Arial Black" w:cs="Arial Black"/>
      <w:b/>
      <w:i w:val="false"/>
      <w:sz w:val="34"/>
    </w:rPr>
  </w:style>
  <w:style w:type="character" w:styleId="WW8Num13z0">
    <w:name w:val="WW8Num13z0"/>
    <w:qFormat/>
    <w:rPr>
      <w:rFonts w:ascii="Wingdings" w:hAnsi="Wingdings" w:cs="Wingdings"/>
      <w:b/>
      <w:i w:val="false"/>
      <w:sz w:val="18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  <w:b/>
      <w:i w:val="false"/>
      <w:sz w:val="18"/>
    </w:rPr>
  </w:style>
  <w:style w:type="character" w:styleId="WW8Num16z0">
    <w:name w:val="WW8Num16z0"/>
    <w:qFormat/>
    <w:rPr>
      <w:rFonts w:ascii="Wingdings" w:hAnsi="Wingdings" w:cs="Wingdings"/>
      <w:b/>
      <w:i w:val="false"/>
      <w:sz w:val="18"/>
    </w:rPr>
  </w:style>
  <w:style w:type="character" w:styleId="WW8Num17z0">
    <w:name w:val="WW8Num17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18z0">
    <w:name w:val="WW8Num18z0"/>
    <w:qFormat/>
    <w:rPr>
      <w:rFonts w:ascii="Wingdings" w:hAnsi="Wingdings" w:cs="Wingdings"/>
      <w:b/>
      <w:i w:val="false"/>
      <w:sz w:val="18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2z0">
    <w:name w:val="WW8Num22z0"/>
    <w:qFormat/>
    <w:rPr>
      <w:rFonts w:ascii="Wingdings" w:hAnsi="Wingdings" w:cs="Wingdings"/>
      <w:b/>
      <w:i w:val="false"/>
      <w:sz w:val="18"/>
    </w:rPr>
  </w:style>
  <w:style w:type="character" w:styleId="WW8Num23z0">
    <w:name w:val="WW8Num23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4z0">
    <w:name w:val="WW8Num24z0"/>
    <w:qFormat/>
    <w:rPr>
      <w:rFonts w:ascii="Wingdings" w:hAnsi="Wingdings" w:cs="Wingdings"/>
      <w:b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7z0">
    <w:name w:val="WW8Num27z0"/>
    <w:qFormat/>
    <w:rPr>
      <w:rFonts w:ascii="Wingdings" w:hAnsi="Wingdings" w:cs="Wingdings"/>
      <w:b/>
      <w:i w:val="false"/>
      <w:sz w:val="1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4z0">
    <w:name w:val="WW8NumSt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St39z0">
    <w:name w:val="WW8NumSt3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rFonts w:ascii="Times New Roman" w:hAnsi="Times New Roman" w:cs="Times New Roman"/>
      <w:b/>
      <w:color w:val="auto"/>
    </w:rPr>
  </w:style>
  <w:style w:type="paragraph" w:styleId="BodyText">
    <w:name w:val="Body Text"/>
    <w:basedOn w:val="Normal"/>
    <w:pPr>
      <w:spacing w:before="60" w:after="120"/>
    </w:pPr>
    <w:rPr/>
  </w:style>
  <w:style w:type="paragraph" w:styleId="List">
    <w:name w:val="List"/>
    <w:basedOn w:val="Normal"/>
    <w:pPr>
      <w:ind w:hanging="360" w:start="360" w:end="0"/>
    </w:pPr>
    <w:rPr>
      <w:color w:val="000000"/>
    </w:rPr>
  </w:style>
  <w:style w:type="paragraph" w:styleId="Caption">
    <w:name w:val="caption"/>
    <w:next w:val="body1"/>
    <w:qFormat/>
    <w:pPr>
      <w:widowControl/>
      <w:bidi w:val="0"/>
      <w:spacing w:before="120" w:after="120"/>
      <w:jc w:val="center"/>
    </w:pPr>
    <w:rPr>
      <w:rFonts w:ascii="Arial Narrow" w:hAnsi="Arial Narrow" w:eastAsia="Times New Roman" w:cs="Arial Narrow"/>
      <w:b/>
      <w:color w:val="000000"/>
      <w:sz w:val="20"/>
      <w:szCs w:val="20"/>
      <w:lang w:val="en-US" w:bidi="ar-SA" w:eastAsia="zh-CN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  <w:sz w:val="20"/>
    </w:rPr>
  </w:style>
  <w:style w:type="paragraph" w:styleId="body1">
    <w:name w:val="body1"/>
    <w:basedOn w:val="Normal"/>
    <w:qFormat/>
    <w:pPr>
      <w:spacing w:before="60" w:after="20"/>
    </w:pPr>
    <w:rPr/>
  </w:style>
  <w:style w:type="paragraph" w:styleId="body2">
    <w:name w:val="body2"/>
    <w:qFormat/>
    <w:pPr>
      <w:widowControl/>
      <w:tabs>
        <w:tab w:val="clear" w:pos="720"/>
        <w:tab w:val="left" w:pos="1440" w:leader="none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dy3">
    <w:name w:val="body3"/>
    <w:qFormat/>
    <w:pPr>
      <w:widowControl/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en-CA" w:bidi="ar-SA"/>
    </w:rPr>
  </w:style>
  <w:style w:type="paragraph" w:styleId="body4">
    <w:name w:val="body4"/>
    <w:qFormat/>
    <w:pPr>
      <w:widowControl/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en-CA" w:bidi="ar-SA"/>
    </w:rPr>
  </w:style>
  <w:style w:type="paragraph" w:styleId="Note">
    <w:name w:val="Note"/>
    <w:basedOn w:val="body2"/>
    <w:qFormat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clear" w:pos="1440"/>
        <w:tab w:val="left" w:pos="1152" w:leader="none"/>
      </w:tabs>
      <w:spacing w:before="160" w:after="160"/>
      <w:ind w:hanging="1728" w:start="1728" w:end="0"/>
    </w:pPr>
    <w:rPr>
      <w:i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US" w:eastAsia="en-CA" w:bidi="ar-SA"/>
    </w:rPr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</w:pPr>
    <w:rPr>
      <w:rFonts w:ascii="Arial Black" w:hAnsi="Arial Black" w:cs="Arial Black"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240" w:after="60"/>
      <w:ind w:hanging="0" w:start="288" w:end="0"/>
    </w:pPr>
    <w:rPr>
      <w:rFonts w:ascii="Arial Black" w:hAnsi="Arial Black" w:cs="Arial Black"/>
      <w:i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120" w:after="60"/>
      <w:ind w:hanging="0" w:start="864" w:end="0"/>
    </w:pPr>
    <w:rPr>
      <w:rFonts w:ascii="Arial Rounded MT Bold" w:hAnsi="Arial Rounded MT Bold" w:cs="Arial Rounded MT Bold"/>
      <w:b/>
      <w:smallCaps/>
      <w:sz w:val="22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296" w:end="0"/>
    </w:pPr>
    <w:rPr>
      <w:rFonts w:ascii="Arial Rounded MT Bold" w:hAnsi="Arial Rounded MT Bold" w:cs="Arial Rounded MT Bold"/>
      <w:b/>
      <w:i/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728" w:end="0"/>
    </w:pPr>
    <w:rPr>
      <w:rFonts w:ascii="Arial" w:hAnsi="Arial" w:cs="Arial"/>
      <w:b/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640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0" w:start="1600" w:end="0"/>
    </w:pPr>
    <w:rPr/>
  </w:style>
  <w:style w:type="paragraph" w:styleId="TitlePage">
    <w:name w:val="Title Page"/>
    <w:qFormat/>
    <w:pPr>
      <w:widowControl/>
      <w:bidi w:val="0"/>
      <w:spacing w:before="1680" w:after="0"/>
      <w:jc w:val="end"/>
    </w:pPr>
    <w:rPr>
      <w:rFonts w:ascii="Arial Black" w:hAnsi="Arial Black" w:eastAsia="Times New Roman" w:cs="Arial Black"/>
      <w:b/>
      <w:color w:val="auto"/>
      <w:sz w:val="52"/>
      <w:szCs w:val="20"/>
      <w:lang w:val="en-US" w:bidi="ar-SA" w:eastAsia="zh-CN"/>
    </w:rPr>
  </w:style>
  <w:style w:type="paragraph" w:styleId="graphic">
    <w:name w:val="graphic"/>
    <w:next w:val="Caption"/>
    <w:qFormat/>
    <w:pPr>
      <w:widowControl/>
      <w:bidi w:val="0"/>
      <w:spacing w:before="160" w:after="120"/>
      <w:jc w:val="center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BodyTextIndent3">
    <w:name w:val="Body Text Indent 3"/>
    <w:basedOn w:val="Normal"/>
    <w:qFormat/>
    <w:pPr>
      <w:spacing w:before="60" w:after="120"/>
      <w:ind w:hanging="0" w:start="360" w:end="0"/>
    </w:pPr>
    <w:rPr>
      <w:sz w:val="16"/>
    </w:rPr>
  </w:style>
  <w:style w:type="paragraph" w:styleId="IndexHeading">
    <w:name w:val="index heading"/>
    <w:basedOn w:val="Heading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bidi w:val="0"/>
      <w:spacing w:before="240" w:after="360"/>
      <w:jc w:val="center"/>
    </w:pPr>
    <w:rPr>
      <w:rFonts w:ascii="Arial Black" w:hAnsi="Arial Black" w:eastAsia="Times New Roman" w:cs="Arial Black"/>
      <w:color w:val="000080"/>
      <w:sz w:val="40"/>
      <w:szCs w:val="20"/>
      <w:lang w:val="en-US" w:bidi="ar-SA" w:eastAsia="zh-CN"/>
    </w:rPr>
  </w:style>
  <w:style w:type="paragraph" w:styleId="BodyText3">
    <w:name w:val="Body Text 3"/>
    <w:basedOn w:val="Normal"/>
    <w:qFormat/>
    <w:pPr>
      <w:spacing w:before="60" w:after="120"/>
    </w:pPr>
    <w:rPr>
      <w:rFonts w:ascii="Arial Black" w:hAnsi="Arial Black" w:cs="Arial Black"/>
      <w:b/>
      <w:i/>
      <w:color w:val="808080"/>
      <w:sz w:val="28"/>
    </w:rPr>
  </w:style>
  <w:style w:type="paragraph" w:styleId="table-arial-10">
    <w:name w:val="table-arial-10"/>
    <w:qFormat/>
    <w:pPr>
      <w:widowControl/>
      <w:bidi w:val="0"/>
      <w:spacing w:before="40" w:after="40"/>
    </w:pPr>
    <w:rPr>
      <w:rFonts w:ascii="Arial" w:hAnsi="Arial" w:eastAsia="Times New Roman" w:cs="Arial"/>
      <w:color w:val="000000"/>
      <w:sz w:val="20"/>
      <w:szCs w:val="20"/>
      <w:lang w:val="en-US" w:bidi="ar-SA" w:eastAsia="zh-CN"/>
    </w:rPr>
  </w:style>
  <w:style w:type="paragraph" w:styleId="tableheading">
    <w:name w:val="table heading"/>
    <w:qFormat/>
    <w:pPr>
      <w:widowControl/>
      <w:bidi w:val="0"/>
      <w:spacing w:before="80" w:after="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bidi="ar-SA" w:eastAsia="zh-CN"/>
    </w:rPr>
  </w:style>
  <w:style w:type="paragraph" w:styleId="TestPlan">
    <w:name w:val="Test Plan"/>
    <w:qFormat/>
    <w:pPr>
      <w:widowControl/>
      <w:bidi w:val="0"/>
      <w:spacing w:before="0" w:after="1720"/>
      <w:jc w:val="end"/>
    </w:pPr>
    <w:rPr>
      <w:rFonts w:ascii="Arial Black" w:hAnsi="Arial Black" w:eastAsia="Times New Roman" w:cs="Arial Black"/>
      <w:b/>
      <w:color w:val="000000"/>
      <w:sz w:val="52"/>
      <w:szCs w:val="20"/>
      <w:lang w:val="en-US" w:bidi="ar-SA" w:eastAsia="zh-CN"/>
    </w:rPr>
  </w:style>
  <w:style w:type="paragraph" w:styleId="PreapredBy">
    <w:name w:val="Preapred By"/>
    <w:qFormat/>
    <w:pPr>
      <w:widowControl/>
      <w:bidi w:val="0"/>
      <w:spacing w:before="1800" w:after="12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PreparationDate">
    <w:name w:val="Preparation Date"/>
    <w:next w:val="Normal"/>
    <w:qFormat/>
    <w:pPr>
      <w:widowControl/>
      <w:bidi w:val="0"/>
      <w:spacing w:before="0" w:after="48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body5">
    <w:name w:val="body5"/>
    <w:qFormat/>
    <w:pPr>
      <w:widowControl/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bidi="ar-SA" w:eastAsia="zh-CN"/>
    </w:rPr>
  </w:style>
  <w:style w:type="paragraph" w:styleId="arrow-b2">
    <w:name w:val="arrow-b2"/>
    <w:qFormat/>
    <w:pPr>
      <w:widowControl/>
      <w:numPr>
        <w:ilvl w:val="0"/>
        <w:numId w:val="5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arrow-b3">
    <w:name w:val="arrow-b3"/>
    <w:qFormat/>
    <w:pPr>
      <w:widowControl/>
      <w:numPr>
        <w:ilvl w:val="0"/>
        <w:numId w:val="7"/>
      </w:numPr>
      <w:tabs>
        <w:tab w:val="clear" w:pos="720"/>
        <w:tab w:val="left" w:pos="1152" w:leader="none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note-10pt">
    <w:name w:val="note-10pt"/>
    <w:qFormat/>
    <w:pPr>
      <w:widowControl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bidi w:val="0"/>
      <w:spacing w:before="160" w:after="160"/>
      <w:ind w:firstLine="1728" w:start="0" w:end="0"/>
    </w:pPr>
    <w:rPr>
      <w:rFonts w:ascii="Garamond" w:hAnsi="Garamond" w:eastAsia="Times New Roman" w:cs="Garamond"/>
      <w:color w:val="000000"/>
      <w:sz w:val="20"/>
      <w:szCs w:val="20"/>
      <w:lang w:val="en-US" w:eastAsia="en-CA" w:bidi="ar-SA"/>
    </w:rPr>
  </w:style>
  <w:style w:type="paragraph" w:styleId="Version">
    <w:name w:val="Version"/>
    <w:next w:val="Normal"/>
    <w:qFormat/>
    <w:pPr>
      <w:widowControl/>
      <w:bidi w:val="0"/>
      <w:spacing w:before="840" w:after="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arrow-b4">
    <w:name w:val="arrow-b4"/>
    <w:qFormat/>
    <w:pPr>
      <w:widowControl/>
      <w:numPr>
        <w:ilvl w:val="0"/>
        <w:numId w:val="10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arrow-b5">
    <w:name w:val="arrow-b5"/>
    <w:qFormat/>
    <w:pPr>
      <w:widowControl/>
      <w:numPr>
        <w:ilvl w:val="0"/>
        <w:numId w:val="2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2">
    <w:name w:val="box-b2"/>
    <w:qFormat/>
    <w:pPr>
      <w:widowControl/>
      <w:numPr>
        <w:ilvl w:val="0"/>
        <w:numId w:val="6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3">
    <w:name w:val="box-b3"/>
    <w:qFormat/>
    <w:pPr>
      <w:widowControl/>
      <w:numPr>
        <w:ilvl w:val="0"/>
        <w:numId w:val="8"/>
      </w:numPr>
      <w:tabs>
        <w:tab w:val="clear" w:pos="720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4">
    <w:name w:val="box-b4"/>
    <w:qFormat/>
    <w:pPr>
      <w:widowControl/>
      <w:numPr>
        <w:ilvl w:val="0"/>
        <w:numId w:val="4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Style11">
    <w:name w:val="Style1"/>
    <w:qFormat/>
    <w:pPr>
      <w:widowControl/>
      <w:numPr>
        <w:ilvl w:val="0"/>
        <w:numId w:val="3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bidi="ar-SA" w:eastAsia="zh-CN"/>
    </w:rPr>
  </w:style>
  <w:style w:type="paragraph" w:styleId="box-b5">
    <w:name w:val="box-b5"/>
    <w:qFormat/>
    <w:pPr>
      <w:widowControl/>
      <w:numPr>
        <w:ilvl w:val="0"/>
        <w:numId w:val="9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proprietarystatement">
    <w:name w:val="proprietary statement"/>
    <w:qFormat/>
    <w:pPr>
      <w:widowControl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bidi w:val="0"/>
    </w:pPr>
    <w:rPr>
      <w:rFonts w:ascii="Arial Narrow" w:hAnsi="Arial Narrow" w:eastAsia="Times New Roman" w:cs="Arial Narrow"/>
      <w:color w:val="808080"/>
      <w:sz w:val="20"/>
      <w:szCs w:val="20"/>
      <w:lang w:val="en-US" w:eastAsia="en-CA" w:bidi="ar-SA"/>
    </w:rPr>
  </w:style>
  <w:style w:type="paragraph" w:styleId="logo">
    <w:name w:val="logo"/>
    <w:qFormat/>
    <w:pPr>
      <w:widowControl/>
      <w:pBdr>
        <w:top w:val="single" w:sz="12" w:space="1" w:color="808080"/>
        <w:bottom w:val="threeDEmboss" w:sz="24" w:space="1" w:color="000000"/>
      </w:pBdr>
      <w:bidi w:val="0"/>
      <w:spacing w:before="480" w:after="480"/>
    </w:pPr>
    <w:rPr>
      <w:rFonts w:ascii="Arial Black" w:hAnsi="Arial Black" w:eastAsia="Times New Roman" w:cs="Arial Black"/>
      <w:color w:val="808080"/>
      <w:sz w:val="24"/>
      <w:szCs w:val="20"/>
      <w:lang w:val="en-US" w:eastAsia="en-CA" w:bidi="ar-SA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bidi="ar-SA" w:eastAsia="zh-C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bidi="ar-SA" w:eastAsia="zh-CN"/>
    </w:rPr>
  </w:style>
  <w:style w:type="paragraph" w:styleId="10pointtext">
    <w:name w:val="10 point text"/>
    <w:qFormat/>
    <w:pPr>
      <w:widowControl/>
      <w:bidi w:val="0"/>
      <w:spacing w:before="60" w:after="0"/>
    </w:pPr>
    <w:rPr>
      <w:rFonts w:ascii="Garamond" w:hAnsi="Garamond" w:eastAsia="Times New Roman" w:cs="Garamond"/>
      <w:color w:val="000000"/>
      <w:sz w:val="20"/>
      <w:szCs w:val="20"/>
      <w:lang w:val="en-US" w:bidi="ar-SA" w:eastAsia="zh-CN"/>
    </w:rPr>
  </w:style>
  <w:style w:type="paragraph" w:styleId="tabletext8">
    <w:name w:val="table text 8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GoodIdea">
    <w:name w:val="Good Idea"/>
    <w:basedOn w:val="Note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pacing w:before="60" w:after="60"/>
      <w:ind w:hanging="1152" w:start="1152" w:end="0"/>
    </w:pPr>
    <w:rPr/>
  </w:style>
  <w:style w:type="paragraph" w:styleId="TableList">
    <w:name w:val="TableList"/>
    <w:qFormat/>
    <w:pPr>
      <w:widowControl/>
      <w:bidi w:val="0"/>
      <w:spacing w:before="20" w:after="0"/>
      <w:ind w:hanging="0" w:start="432" w:end="0"/>
    </w:pPr>
    <w:rPr>
      <w:rFonts w:ascii="Arial" w:hAnsi="Arial" w:eastAsia="Times New Roman" w:cs="Arial"/>
      <w:color w:val="000000"/>
      <w:sz w:val="20"/>
      <w:szCs w:val="20"/>
      <w:lang w:val="en-US" w:eastAsia="en-CA" w:bidi="ar-SA"/>
    </w:rPr>
  </w:style>
  <w:style w:type="paragraph" w:styleId="TableH10Left">
    <w:name w:val="TableH10Left"/>
    <w:qFormat/>
    <w:pPr>
      <w:widowControl/>
      <w:bidi w:val="0"/>
      <w:spacing w:before="120" w:after="60"/>
    </w:pPr>
    <w:rPr>
      <w:rFonts w:ascii="Arial Black" w:hAnsi="Arial Black" w:eastAsia="Times New Roman" w:cs="Arial Black"/>
      <w:b/>
      <w:i/>
      <w:color w:val="000000"/>
      <w:sz w:val="20"/>
      <w:szCs w:val="20"/>
      <w:lang w:val="en-US" w:eastAsia="en-CA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SimpleTemplateNoCoverPage.dot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2000-08-29T14:01:00Z</dcterms:created>
  <dc:creator>Marysusan Banavali</dc:creator>
  <dc:description/>
  <dc:language>en-CA</dc:language>
  <cp:lastModifiedBy>Enron</cp:lastModifiedBy>
  <cp:lastPrinted>2000-08-28T13:08:00Z</cp:lastPrinted>
  <dcterms:modified xsi:type="dcterms:W3CDTF">2000-08-29T14:01:00Z</dcterms:modified>
  <cp:revision>2</cp:revision>
  <dc:subject>ETS Template</dc:subject>
  <dc:title>ETS Template</dc:title>
</cp:coreProperties>
</file>