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w:t>
              <w:t>Trading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Risk Management &amp; Trading Corp. ("Party B")</w:t>
      </w:r>
    </w:p>
    <w:p>
      <w:pPr>
        <w:pStyle w:val="Normal"/>
        <w:rPr>
          <w:sz w:val="22"/>
        </w:rPr>
      </w:pPr>
      <w:r>
        <w:rPr>
          <w:sz w:val="22"/>
        </w:rPr>
        <w:t>Attention:</w:t>
        <w:tab/>
        <w:t>[                 ]</w:t>
      </w:r>
    </w:p>
    <w:p>
      <w:pPr>
        <w:pStyle w:val="Normal"/>
        <w:rPr>
          <w:sz w:val="22"/>
        </w:rPr>
      </w:pPr>
      <w:r>
        <w:rPr>
          <w:sz w:val="22"/>
        </w:rPr>
        <w:t>Fax No.:</w:t>
        <w:tab/>
        <w:t>[(   )         ]</w:t>
      </w:r>
    </w:p>
    <w:p>
      <w:pPr>
        <w:pStyle w:val="Normal"/>
        <w:rPr>
          <w:sz w:val="22"/>
        </w:rPr>
      </w:pPr>
      <w:r>
        <w:rPr>
          <w:sz w:val="22"/>
        </w:rPr>
        <w:t>From:</w:t>
        <w:tab/>
        <w:tab/>
        <w:t>Enron Canada Corp.("Party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Payment Dates as set forth on Exhibit I attached hereto</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C$5.989</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For each Calculation Period, the average of all settlement prices (converted by the FX Rate) for each Friday, from and including the Effective Date through and including the Pricing Date for the applicable Calculation Period, for the March, 2002 NYMEX Henry Hub Natural Gas Futures Contract  as set forth on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Energy Conversion Rate:</w:t>
            </w:r>
          </w:p>
        </w:tc>
        <w:tc>
          <w:tcPr>
            <w:tcW w:w="6102" w:type="dxa"/>
            <w:tcBorders/>
          </w:tcPr>
          <w:p>
            <w:pPr>
              <w:pStyle w:val="Normal"/>
              <w:jc w:val="both"/>
              <w:rPr>
                <w:sz w:val="22"/>
              </w:rPr>
            </w:pPr>
            <w:r>
              <w:rPr>
                <w:sz w:val="22"/>
              </w:rPr>
              <w:t>“</w:t>
            </w:r>
            <w:r>
              <w:rPr>
                <w:sz w:val="22"/>
              </w:rPr>
              <w:t>Energy Conversion Rate” shall mean for conversion from Gigajoules (GJ’s”) to MMBtu, One (1) MMBtu shall be equal to 1.055056 GJ’s.  The Notional Quantity per Calculation Period shall be multiplied by the Energy Conversion Rate which will equal the equivalent Notional Quantity per Calculation Period in GJ’s.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r>
              <w:rPr>
                <w:rFonts w:cs="Arial" w:ascii="Arial" w:hAnsi="Arial"/>
                <w:sz w:val="20"/>
              </w:rPr>
              <w:t xml:space="preserve">  </w:t>
            </w:r>
          </w:p>
          <w:p>
            <w:pPr>
              <w:pStyle w:val="Normal"/>
              <w:tabs>
                <w:tab w:val="clear" w:pos="720"/>
                <w:tab w:val="left" w:pos="342" w:leader="none"/>
              </w:tabs>
              <w:ind w:hanging="360" w:start="342" w:end="0"/>
              <w:jc w:val="both"/>
              <w:rPr>
                <w:sz w:val="22"/>
              </w:rPr>
            </w:pPr>
            <w:r>
              <w:rPr>
                <w:sz w:val="22"/>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bl>
    <w:p>
      <w:pPr>
        <w:pStyle w:val="Normal"/>
        <w:rPr/>
      </w:pPr>
      <w:r>
        <w:br w:type="page"/>
      </w: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BodyText2"/>
              <w:rPr/>
            </w:pPr>
            <w:r>
              <w:rPr/>
              <w:t>Please advise</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Risk Management &amp; Trading Corp.</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2160"/>
        <w:gridCol w:w="196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2160" w:type="dxa"/>
            <w:tcBorders/>
          </w:tcPr>
          <w:p>
            <w:pPr>
              <w:pStyle w:val="BodyText"/>
              <w:ind w:start="162" w:end="0"/>
              <w:jc w:val="center"/>
              <w:rPr>
                <w:b/>
                <w:sz w:val="20"/>
              </w:rPr>
            </w:pPr>
            <w:r>
              <w:rPr>
                <w:b/>
                <w:sz w:val="20"/>
              </w:rPr>
              <w:t>Notional Quantity</w:t>
            </w:r>
          </w:p>
          <w:p>
            <w:pPr>
              <w:pStyle w:val="BodyText"/>
              <w:ind w:start="162" w:end="0"/>
              <w:jc w:val="center"/>
              <w:rPr>
                <w:b/>
                <w:sz w:val="20"/>
              </w:rPr>
            </w:pPr>
            <w:r>
              <w:rPr>
                <w:b/>
                <w:sz w:val="20"/>
              </w:rPr>
              <w:t>per Calculation</w:t>
            </w:r>
          </w:p>
          <w:p>
            <w:pPr>
              <w:pStyle w:val="BodyText"/>
              <w:ind w:start="162" w:end="0"/>
              <w:jc w:val="center"/>
              <w:rPr>
                <w:b/>
                <w:sz w:val="20"/>
              </w:rPr>
            </w:pPr>
            <w:r>
              <w:rPr>
                <w:b/>
                <w:sz w:val="20"/>
              </w:rPr>
              <w:t>Period (GJ)</w:t>
            </w:r>
          </w:p>
        </w:tc>
        <w:tc>
          <w:tcPr>
            <w:tcW w:w="196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2160" w:type="dxa"/>
            <w:tcBorders/>
          </w:tcPr>
          <w:p>
            <w:pPr>
              <w:pStyle w:val="BodyText"/>
              <w:jc w:val="center"/>
              <w:rPr>
                <w:b/>
                <w:sz w:val="20"/>
              </w:rPr>
            </w:pPr>
            <w:r>
              <w:rPr>
                <w:b/>
                <w:sz w:val="20"/>
              </w:rPr>
              <w:t>------------------------</w:t>
            </w:r>
          </w:p>
        </w:tc>
        <w:tc>
          <w:tcPr>
            <w:tcW w:w="1962" w:type="dxa"/>
            <w:tcBorders/>
          </w:tcPr>
          <w:p>
            <w:pPr>
              <w:pStyle w:val="BodyText"/>
              <w:jc w:val="center"/>
              <w:rPr>
                <w:b/>
                <w:sz w:val="20"/>
              </w:rPr>
            </w:pPr>
            <w:r>
              <w:rPr>
                <w:b/>
                <w:sz w:val="20"/>
              </w:rPr>
              <w:t>-------------------</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rPr>
                <w:b/>
                <w:sz w:val="20"/>
              </w:rPr>
            </w:pPr>
            <w:r>
              <w:rPr>
                <w:b/>
                <w:sz w:val="20"/>
              </w:rPr>
            </w:r>
          </w:p>
        </w:tc>
        <w:tc>
          <w:tcPr>
            <w:tcW w:w="196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2160" w:type="dxa"/>
            <w:tcBorders/>
          </w:tcPr>
          <w:p>
            <w:pPr>
              <w:pStyle w:val="BodyText"/>
              <w:tabs>
                <w:tab w:val="clear" w:pos="720"/>
                <w:tab w:val="left" w:pos="1782" w:leader="none"/>
              </w:tabs>
              <w:ind w:start="72" w:end="162"/>
              <w:jc w:val="end"/>
              <w:rPr>
                <w:b/>
                <w:sz w:val="20"/>
              </w:rPr>
            </w:pPr>
            <w:r>
              <w:rPr>
                <w:b/>
                <w:sz w:val="20"/>
              </w:rPr>
              <w:t>825,854</w:t>
            </w:r>
          </w:p>
        </w:tc>
        <w:tc>
          <w:tcPr>
            <w:tcW w:w="196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2160" w:type="dxa"/>
            <w:tcBorders/>
          </w:tcPr>
          <w:p>
            <w:pPr>
              <w:pStyle w:val="BodyText"/>
              <w:tabs>
                <w:tab w:val="clear" w:pos="720"/>
                <w:tab w:val="left" w:pos="1782" w:leader="none"/>
              </w:tabs>
              <w:ind w:start="72" w:end="162"/>
              <w:jc w:val="end"/>
              <w:rPr>
                <w:b/>
                <w:sz w:val="20"/>
              </w:rPr>
            </w:pPr>
            <w:r>
              <w:rPr>
                <w:b/>
                <w:sz w:val="20"/>
              </w:rPr>
              <w:t>821,417</w:t>
            </w:r>
          </w:p>
        </w:tc>
        <w:tc>
          <w:tcPr>
            <w:tcW w:w="196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2160" w:type="dxa"/>
            <w:tcBorders/>
          </w:tcPr>
          <w:p>
            <w:pPr>
              <w:pStyle w:val="BodyText"/>
              <w:tabs>
                <w:tab w:val="clear" w:pos="720"/>
                <w:tab w:val="left" w:pos="1782" w:leader="none"/>
              </w:tabs>
              <w:ind w:start="72" w:end="162"/>
              <w:jc w:val="end"/>
              <w:rPr>
                <w:b/>
                <w:sz w:val="20"/>
              </w:rPr>
            </w:pPr>
            <w:r>
              <w:rPr>
                <w:b/>
                <w:sz w:val="20"/>
              </w:rPr>
              <w:t>830,292</w:t>
            </w:r>
          </w:p>
        </w:tc>
        <w:tc>
          <w:tcPr>
            <w:tcW w:w="196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tabs>
                <w:tab w:val="clear" w:pos="720"/>
                <w:tab w:val="left" w:pos="1782" w:leader="none"/>
              </w:tabs>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2160" w:type="dxa"/>
            <w:tcBorders/>
          </w:tcPr>
          <w:p>
            <w:pPr>
              <w:pStyle w:val="BodyText"/>
              <w:tabs>
                <w:tab w:val="clear" w:pos="720"/>
                <w:tab w:val="left" w:pos="1782" w:leader="none"/>
              </w:tabs>
              <w:ind w:start="72" w:end="162"/>
              <w:jc w:val="end"/>
              <w:rPr>
                <w:b/>
                <w:sz w:val="20"/>
              </w:rPr>
            </w:pPr>
            <w:r>
              <w:rPr>
                <w:b/>
                <w:sz w:val="20"/>
              </w:rPr>
              <w:t>50,094,357</w:t>
            </w:r>
          </w:p>
        </w:tc>
        <w:tc>
          <w:tcPr>
            <w:tcW w:w="196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/mnt/main-storage/datasets/enron-docs/doc/RMTECCnymex.doc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/mnt/main-storage/datasets/enron-docs/doc/RMTECCnymex.doc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/mnt/main-storage/datasets/enron-docs/doc/RMTECCnymex.doc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2000-09-28T19:37:00Z</dcterms:created>
  <dc:creator>ECT</dc:creator>
  <dc:description/>
  <dc:language>en-CA</dc:language>
  <cp:lastModifiedBy>kellis</cp:lastModifiedBy>
  <cp:lastPrinted>2000-09-29T13:48:00Z</cp:lastPrinted>
  <dcterms:modified xsi:type="dcterms:W3CDTF">2000-09-29T16:23:00Z</dcterms:modified>
  <cp:revision>12</cp:revision>
  <dc:subject>Williams Energy Marketing &amp; Trading Company</dc:subject>
  <dc:title>NZ2978.1</dc:title>
</cp:coreProperties>
</file>