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jc w:val="center"/>
        <w:rPr/>
      </w:pPr>
      <w:r>
        <w:rPr/>
        <w:t>Retail Marketplace Retesting Guidelines</w:t>
      </w:r>
    </w:p>
    <w:p>
      <w:pPr>
        <w:pStyle w:val="Normal"/>
        <w:rPr/>
      </w:pPr>
      <w:r>
        <w:rPr/>
      </w:r>
    </w:p>
    <w:p>
      <w:pPr>
        <w:pStyle w:val="Normal"/>
        <w:rPr/>
      </w:pPr>
      <w:r>
        <w:rPr/>
        <w:t>During the normal course of Marketplace operations companies will need to make changes to their systems, including connectivity systems, translation systems, and other back-end systems including billing, metering, customer information, etc.  Once a party has qualified and is in production in the Marketplace, changes to systems can have a significant impact on trading partners and the Marketplace.</w:t>
      </w:r>
    </w:p>
    <w:p>
      <w:pPr>
        <w:pStyle w:val="Normal"/>
        <w:rPr/>
      </w:pPr>
      <w:r>
        <w:rPr/>
      </w:r>
    </w:p>
    <w:p>
      <w:pPr>
        <w:pStyle w:val="Normal"/>
        <w:rPr/>
      </w:pPr>
      <w:r>
        <w:rPr/>
        <w:t xml:space="preserve">This document establishes baseline requirements for retesting after a company makes changes to their systems.  These guidelines are intended to minimize risk to the Marketplace. Market Participants should follow well defined internal change management processes that document results and demonstrate due diligence in making changes. </w:t>
      </w:r>
    </w:p>
    <w:p>
      <w:pPr>
        <w:pStyle w:val="Heading2"/>
        <w:ind w:hanging="0" w:start="0"/>
        <w:rPr/>
      </w:pPr>
      <w:r>
        <w:rPr/>
        <w:t>System Change and Retesting Assumptions</w:t>
      </w:r>
    </w:p>
    <w:p>
      <w:pPr>
        <w:pStyle w:val="Normal"/>
        <w:numPr>
          <w:ilvl w:val="0"/>
          <w:numId w:val="3"/>
        </w:numPr>
        <w:rPr/>
      </w:pPr>
      <w:r>
        <w:rPr/>
        <w:t>System changes made by one MP can have an impact on trading partners (TPs) of that MP.</w:t>
      </w:r>
    </w:p>
    <w:p>
      <w:pPr>
        <w:pStyle w:val="Normal"/>
        <w:numPr>
          <w:ilvl w:val="0"/>
          <w:numId w:val="3"/>
        </w:numPr>
        <w:rPr/>
      </w:pPr>
      <w:r>
        <w:rPr/>
        <w:t>An MP should do sufficient internal testing, including regression testing, to minimize the impact of changes on its TPs.</w:t>
      </w:r>
    </w:p>
    <w:p>
      <w:pPr>
        <w:pStyle w:val="Normal"/>
        <w:numPr>
          <w:ilvl w:val="0"/>
          <w:numId w:val="3"/>
        </w:numPr>
        <w:rPr/>
      </w:pPr>
      <w:r>
        <w:rPr/>
        <w:t>An MP should communicate to its TPs clearly and early regarding changes to systems.  This includes advance notice of the change, copies of migration plans, etc…</w:t>
      </w:r>
    </w:p>
    <w:p>
      <w:pPr>
        <w:pStyle w:val="Normal"/>
        <w:numPr>
          <w:ilvl w:val="0"/>
          <w:numId w:val="3"/>
        </w:numPr>
        <w:rPr/>
      </w:pPr>
      <w:r>
        <w:rPr/>
        <w:t>An MP should identify a ‘back-out’ strategy where appropriate in case problems as a result of changes cannot be resolved quickly.</w:t>
      </w:r>
    </w:p>
    <w:p>
      <w:pPr>
        <w:pStyle w:val="Normal"/>
        <w:numPr>
          <w:ilvl w:val="0"/>
          <w:numId w:val="3"/>
        </w:numPr>
        <w:rPr/>
      </w:pPr>
      <w:r>
        <w:rPr/>
        <w:t>‘</w:t>
      </w:r>
      <w:r>
        <w:rPr/>
        <w:t>Translator systems’ include any hardware, software, and system configuration used to create the ANSI X12-compliant files sent to TPs.  It does not include mapping.</w:t>
      </w:r>
    </w:p>
    <w:p>
      <w:pPr>
        <w:pStyle w:val="Normal"/>
        <w:numPr>
          <w:ilvl w:val="0"/>
          <w:numId w:val="3"/>
        </w:numPr>
        <w:rPr/>
      </w:pPr>
      <w:r>
        <w:rPr/>
        <w:t>‘</w:t>
      </w:r>
      <w:r>
        <w:rPr/>
        <w:t xml:space="preserve">Connectivity systems’ include any hardware, software and system configuration used to deliver files to and from a TP.  It includes GISB- and FTP-based electronic delivery mechanisms (EDMs). </w:t>
      </w:r>
    </w:p>
    <w:p>
      <w:pPr>
        <w:pStyle w:val="Normal"/>
        <w:numPr>
          <w:ilvl w:val="0"/>
          <w:numId w:val="3"/>
        </w:numPr>
        <w:rPr/>
      </w:pPr>
      <w:r>
        <w:rPr/>
        <w:t>‘</w:t>
      </w:r>
      <w:r>
        <w:rPr/>
        <w:t>Service Provider’ is a vague term that can refer to many different types of entities used by MPs in the Marketplace.  These include connectivity, translation, testing, billing, metering, etc.</w:t>
      </w:r>
    </w:p>
    <w:p>
      <w:pPr>
        <w:pStyle w:val="Normal"/>
        <w:numPr>
          <w:ilvl w:val="0"/>
          <w:numId w:val="3"/>
        </w:numPr>
        <w:rPr/>
      </w:pPr>
      <w:r>
        <w:rPr/>
        <w:t>‘</w:t>
      </w:r>
      <w:r>
        <w:rPr/>
        <w:t>Market Interface Service Provider’ (MISP) is a term used to refer to an internal organization or an outsourced company that provides both connectivity and translation services for an MP.</w:t>
      </w:r>
    </w:p>
    <w:p>
      <w:pPr>
        <w:pStyle w:val="Normal"/>
        <w:numPr>
          <w:ilvl w:val="0"/>
          <w:numId w:val="3"/>
        </w:numPr>
        <w:rPr/>
      </w:pPr>
      <w:r>
        <w:rPr/>
        <w:t>While many changes to systems will be intentional and planned, there are emergency scenarios, such as a system failure, where advanced planning and notice are not possible.</w:t>
      </w:r>
    </w:p>
    <w:p>
      <w:pPr>
        <w:pStyle w:val="Heading2"/>
        <w:ind w:hanging="0" w:start="0"/>
        <w:rPr/>
      </w:pPr>
      <w:r>
        <w:rPr/>
        <w:t>System Change and Retesting Scenarios</w:t>
      </w:r>
    </w:p>
    <w:p>
      <w:pPr>
        <w:pStyle w:val="Normal"/>
        <w:rPr/>
      </w:pPr>
      <w:r>
        <w:rPr/>
        <w:t>System changes and retesting scenarios fit into one of the following categories. Specific guidance on each of these areas is provided in detail below.</w:t>
      </w:r>
    </w:p>
    <w:p>
      <w:pPr>
        <w:pStyle w:val="Normal"/>
        <w:numPr>
          <w:ilvl w:val="0"/>
          <w:numId w:val="4"/>
        </w:numPr>
        <w:rPr/>
      </w:pPr>
      <w:r>
        <w:rPr/>
        <w:t>Connectivity system changes and/or updates</w:t>
      </w:r>
    </w:p>
    <w:p>
      <w:pPr>
        <w:pStyle w:val="Normal"/>
        <w:numPr>
          <w:ilvl w:val="0"/>
          <w:numId w:val="4"/>
        </w:numPr>
        <w:rPr/>
      </w:pPr>
      <w:r>
        <w:rPr/>
        <w:t>Translator system changes and/or updates</w:t>
      </w:r>
    </w:p>
    <w:p>
      <w:pPr>
        <w:pStyle w:val="Normal"/>
        <w:numPr>
          <w:ilvl w:val="0"/>
          <w:numId w:val="4"/>
        </w:numPr>
        <w:rPr/>
      </w:pPr>
      <w:r>
        <w:rPr/>
        <w:t>Back-end/Back office system change and/or updates</w:t>
      </w:r>
    </w:p>
    <w:p>
      <w:pPr>
        <w:pStyle w:val="Normal"/>
        <w:numPr>
          <w:ilvl w:val="0"/>
          <w:numId w:val="4"/>
        </w:numPr>
        <w:rPr/>
      </w:pPr>
      <w:r>
        <w:rPr/>
        <w:t>Change of Service Provider</w:t>
      </w:r>
    </w:p>
    <w:p>
      <w:pPr>
        <w:pStyle w:val="Normal"/>
        <w:numPr>
          <w:ilvl w:val="0"/>
          <w:numId w:val="4"/>
        </w:numPr>
        <w:rPr/>
      </w:pPr>
      <w:r>
        <w:rPr/>
        <w:t>Miscellaneous Changes</w:t>
      </w:r>
    </w:p>
    <w:p>
      <w:pPr>
        <w:pStyle w:val="Normal"/>
        <w:numPr>
          <w:ilvl w:val="1"/>
          <w:numId w:val="4"/>
        </w:numPr>
        <w:rPr/>
      </w:pPr>
      <w:r>
        <w:rPr/>
        <w:t>New Trading Partnership</w:t>
      </w:r>
    </w:p>
    <w:p>
      <w:pPr>
        <w:pStyle w:val="Normal"/>
        <w:numPr>
          <w:ilvl w:val="1"/>
          <w:numId w:val="4"/>
        </w:numPr>
        <w:rPr/>
      </w:pPr>
      <w:r>
        <w:rPr/>
        <w:t>Certification Revoked by PUCT</w:t>
      </w:r>
    </w:p>
    <w:p>
      <w:pPr>
        <w:pStyle w:val="Normal"/>
        <w:numPr>
          <w:ilvl w:val="1"/>
          <w:numId w:val="4"/>
        </w:numPr>
        <w:rPr/>
      </w:pPr>
      <w:r>
        <w:rPr/>
        <w:t>Dormant MPs</w:t>
      </w:r>
    </w:p>
    <w:p>
      <w:pPr>
        <w:pStyle w:val="Normal"/>
        <w:numPr>
          <w:ilvl w:val="1"/>
          <w:numId w:val="4"/>
        </w:numPr>
        <w:rPr/>
      </w:pPr>
      <w:r>
        <w:rPr/>
        <w:t>Marketplace Functional Changes</w:t>
      </w:r>
    </w:p>
    <w:p>
      <w:pPr>
        <w:pStyle w:val="Normal"/>
        <w:numPr>
          <w:ilvl w:val="1"/>
          <w:numId w:val="4"/>
        </w:numPr>
        <w:rPr/>
      </w:pPr>
      <w:r>
        <w:rPr/>
        <w:t>Marketplace Production Failures</w:t>
      </w:r>
    </w:p>
    <w:p>
      <w:pPr>
        <w:pStyle w:val="Normal"/>
        <w:numPr>
          <w:ilvl w:val="1"/>
          <w:numId w:val="4"/>
        </w:numPr>
        <w:rPr/>
      </w:pPr>
      <w:r>
        <w:rPr/>
        <w:t>Emergency Changes</w:t>
      </w:r>
    </w:p>
    <w:p>
      <w:pPr>
        <w:pStyle w:val="Normal"/>
        <w:numPr>
          <w:ilvl w:val="0"/>
          <w:numId w:val="4"/>
        </w:numPr>
        <w:rPr/>
      </w:pPr>
      <w:r>
        <w:rPr/>
        <w:t>Escalation Procedures</w:t>
      </w:r>
    </w:p>
    <w:p>
      <w:pPr>
        <w:pStyle w:val="Heading2"/>
        <w:ind w:hanging="0" w:start="0"/>
        <w:rPr/>
      </w:pPr>
      <w:r>
        <w:rPr/>
        <w:t>Connectivity System Changes and/or Updates</w:t>
      </w:r>
    </w:p>
    <w:p>
      <w:pPr>
        <w:pStyle w:val="Normal"/>
        <w:rPr/>
      </w:pPr>
      <w:r>
        <w:rPr/>
        <w:t>Connectivity is defined as the systems used to send and/or receive files to and from your trading partners.  In Texas, these include GISB EDM for CR/TDSP communications, and FTP for MP/ERCOT communications, as well as changes in communications protocols (eg FTP to HTTP), secury keys, IP addresses, DNS names, and DUNS numbers.</w:t>
      </w:r>
    </w:p>
    <w:p>
      <w:pPr>
        <w:pStyle w:val="Heading5"/>
        <w:ind w:hanging="0" w:start="0"/>
        <w:rPr/>
      </w:pPr>
      <w:r>
        <w:rPr/>
        <w:t>Connectivity Change Retest Worksheet</w:t>
      </w:r>
    </w:p>
    <w:tbl>
      <w:tblPr>
        <w:tblW w:w="8856" w:type="dxa"/>
        <w:jc w:val="start"/>
        <w:tblInd w:w="108" w:type="dxa"/>
        <w:tblLayout w:type="fixed"/>
        <w:tblCellMar>
          <w:top w:w="0" w:type="dxa"/>
          <w:start w:w="108" w:type="dxa"/>
          <w:bottom w:w="0" w:type="dxa"/>
          <w:end w:w="108" w:type="dxa"/>
        </w:tblCellMar>
      </w:tblPr>
      <w:tblGrid>
        <w:gridCol w:w="7740"/>
        <w:gridCol w:w="1116"/>
      </w:tblGrid>
      <w:tr>
        <w:trPr/>
        <w:tc>
          <w:tcPr>
            <w:tcW w:w="7740" w:type="dxa"/>
            <w:tcBorders>
              <w:top w:val="single" w:sz="6" w:space="0" w:color="000000"/>
              <w:start w:val="single" w:sz="6" w:space="0" w:color="000000"/>
              <w:bottom w:val="single" w:sz="6" w:space="0" w:color="000000"/>
              <w:end w:val="single" w:sz="6" w:space="0" w:color="000000"/>
            </w:tcBorders>
            <w:shd w:fill="000000" w:val="clear"/>
          </w:tcPr>
          <w:p>
            <w:pPr>
              <w:pStyle w:val="Normal"/>
              <w:rPr>
                <w:b/>
              </w:rPr>
            </w:pPr>
            <w:r>
              <w:rPr>
                <w:b/>
              </w:rPr>
              <w:t>Action</w:t>
            </w:r>
          </w:p>
        </w:tc>
        <w:tc>
          <w:tcPr>
            <w:tcW w:w="1116"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sz w:val="28"/>
              </w:rPr>
            </w:pPr>
            <w:r>
              <w:rPr>
                <w:rFonts w:eastAsia="Wingdings 2" w:cs="Wingdings 2" w:ascii="Wingdings 2" w:hAnsi="Wingdings 2"/>
                <w:b/>
                <w:sz w:val="28"/>
              </w:rPr>
              <w:sym w:font="Wingdings 2" w:char="f0d3"/>
            </w:r>
          </w:p>
        </w:tc>
      </w:tr>
      <w:tr>
        <w:trPr/>
        <w:tc>
          <w:tcPr>
            <w:tcW w:w="7740" w:type="dxa"/>
            <w:tcBorders>
              <w:top w:val="single" w:sz="6" w:space="0" w:color="000000"/>
              <w:start w:val="single" w:sz="6" w:space="0" w:color="000000"/>
              <w:bottom w:val="single" w:sz="6" w:space="0" w:color="000000"/>
              <w:end w:val="single" w:sz="6" w:space="0" w:color="000000"/>
            </w:tcBorders>
          </w:tcPr>
          <w:p>
            <w:pPr>
              <w:pStyle w:val="Normal"/>
              <w:rPr/>
            </w:pPr>
            <w:r>
              <w:rPr/>
              <w:t>Communicate the planned changes to communication systems.  When possible, provide two-weeks advance notice to trading partners for connectivity changes.</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7740" w:type="dxa"/>
            <w:tcBorders>
              <w:top w:val="single" w:sz="6" w:space="0" w:color="000000"/>
              <w:start w:val="single" w:sz="6" w:space="0" w:color="000000"/>
              <w:bottom w:val="single" w:sz="6" w:space="0" w:color="000000"/>
              <w:end w:val="single" w:sz="6" w:space="0" w:color="000000"/>
            </w:tcBorders>
          </w:tcPr>
          <w:p>
            <w:pPr>
              <w:pStyle w:val="Normal"/>
              <w:rPr/>
            </w:pPr>
            <w:r>
              <w:rPr/>
              <w:t>Send new Technical Connectivity Worksheets and new Trading Partner Agreements to TPs where necessary, including changes to DUNS, IP address, name change, or any other change to the information on the technical worksheet.</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7740" w:type="dxa"/>
            <w:tcBorders>
              <w:top w:val="single" w:sz="6" w:space="0" w:color="000000"/>
              <w:start w:val="single" w:sz="6" w:space="0" w:color="000000"/>
              <w:bottom w:val="single" w:sz="6" w:space="0" w:color="000000"/>
              <w:end w:val="single" w:sz="6" w:space="0" w:color="000000"/>
            </w:tcBorders>
          </w:tcPr>
          <w:p>
            <w:pPr>
              <w:pStyle w:val="Normal"/>
              <w:rPr/>
            </w:pPr>
            <w:r>
              <w:rPr/>
              <w:t xml:space="preserve">Notify trading partners of specific work plans with dates to migrate changes to production at least 2 weeks in advance of change </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7740" w:type="dxa"/>
            <w:tcBorders>
              <w:top w:val="single" w:sz="6" w:space="0" w:color="000000"/>
              <w:start w:val="single" w:sz="6" w:space="0" w:color="000000"/>
              <w:bottom w:val="single" w:sz="6" w:space="0" w:color="000000"/>
              <w:end w:val="single" w:sz="6" w:space="0" w:color="000000"/>
            </w:tcBorders>
          </w:tcPr>
          <w:p>
            <w:pPr>
              <w:pStyle w:val="Normal"/>
              <w:rPr/>
            </w:pPr>
            <w:r>
              <w:rPr/>
              <w:t>Complete the change and confirm successful migration with each trading partner</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bl>
    <w:p>
      <w:pPr>
        <w:pStyle w:val="Heading2"/>
        <w:ind w:hanging="0" w:start="0"/>
        <w:rPr/>
      </w:pPr>
      <w:r>
        <w:rPr/>
        <w:t>Translator System Changes and/or Updates</w:t>
      </w:r>
    </w:p>
    <w:p>
      <w:pPr>
        <w:pStyle w:val="Normal"/>
        <w:rPr/>
      </w:pPr>
      <w:r>
        <w:rPr/>
        <w:t>Translators or systems used to perform the data transformation that create EDI ANSI X12 files may be changed or require upgrades.  These changes pose significant risks to individual participants and the marketplace as a whole.  All participants in the market should therefore address these changes with a clear understand that;</w:t>
      </w:r>
    </w:p>
    <w:p>
      <w:pPr>
        <w:pStyle w:val="Normal"/>
        <w:numPr>
          <w:ilvl w:val="0"/>
          <w:numId w:val="7"/>
        </w:numPr>
        <w:rPr>
          <w:i/>
          <w:i/>
        </w:rPr>
      </w:pPr>
      <w:r>
        <w:rPr>
          <w:i/>
        </w:rPr>
        <w:t>ERCOT and market participants need to take responsibility for any changes they make in their data transformation system(s) and test with trading partners when they perceive a risk.</w:t>
      </w:r>
    </w:p>
    <w:p>
      <w:pPr>
        <w:pStyle w:val="Normal"/>
        <w:numPr>
          <w:ilvl w:val="0"/>
          <w:numId w:val="7"/>
        </w:numPr>
        <w:rPr>
          <w:i/>
          <w:i/>
        </w:rPr>
      </w:pPr>
      <w:r>
        <w:rPr>
          <w:i/>
        </w:rPr>
        <w:t>ERCOT and market participants need to do internal testing to help minimize the risk to the market.</w:t>
      </w:r>
    </w:p>
    <w:p>
      <w:pPr>
        <w:pStyle w:val="Normal"/>
        <w:numPr>
          <w:ilvl w:val="0"/>
          <w:numId w:val="7"/>
        </w:numPr>
        <w:rPr>
          <w:i/>
          <w:i/>
        </w:rPr>
      </w:pPr>
      <w:r>
        <w:rPr>
          <w:i/>
        </w:rPr>
        <w:t>Best practices include regression testing translator changes on historical data.</w:t>
      </w:r>
    </w:p>
    <w:p>
      <w:pPr>
        <w:pStyle w:val="Heading5"/>
        <w:ind w:hanging="0" w:start="0"/>
        <w:rPr/>
      </w:pPr>
      <w:r>
        <w:rPr/>
        <w:t>Translator Change Retest Worksheet</w:t>
      </w:r>
    </w:p>
    <w:tbl>
      <w:tblPr>
        <w:tblW w:w="8856" w:type="dxa"/>
        <w:jc w:val="start"/>
        <w:tblInd w:w="108" w:type="dxa"/>
        <w:tblLayout w:type="fixed"/>
        <w:tblCellMar>
          <w:top w:w="0" w:type="dxa"/>
          <w:start w:w="108" w:type="dxa"/>
          <w:bottom w:w="0" w:type="dxa"/>
          <w:end w:w="108" w:type="dxa"/>
        </w:tblCellMar>
      </w:tblPr>
      <w:tblGrid>
        <w:gridCol w:w="7740"/>
        <w:gridCol w:w="1116"/>
      </w:tblGrid>
      <w:tr>
        <w:trPr/>
        <w:tc>
          <w:tcPr>
            <w:tcW w:w="7740" w:type="dxa"/>
            <w:tcBorders>
              <w:top w:val="single" w:sz="6" w:space="0" w:color="000000"/>
              <w:start w:val="single" w:sz="6" w:space="0" w:color="000000"/>
              <w:bottom w:val="single" w:sz="6" w:space="0" w:color="000000"/>
              <w:end w:val="single" w:sz="6" w:space="0" w:color="000000"/>
            </w:tcBorders>
            <w:shd w:fill="000000" w:val="clear"/>
          </w:tcPr>
          <w:p>
            <w:pPr>
              <w:pStyle w:val="Normal"/>
              <w:rPr/>
            </w:pPr>
            <w:r>
              <w:rPr/>
              <w:t>Action</w:t>
            </w:r>
          </w:p>
        </w:tc>
        <w:tc>
          <w:tcPr>
            <w:tcW w:w="1116"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sz w:val="28"/>
              </w:rPr>
            </w:pPr>
            <w:r>
              <w:rPr>
                <w:rFonts w:eastAsia="Wingdings 2" w:cs="Wingdings 2" w:ascii="Wingdings 2" w:hAnsi="Wingdings 2"/>
                <w:sz w:val="28"/>
              </w:rPr>
              <w:sym w:font="Wingdings 2" w:char="f0d3"/>
            </w:r>
          </w:p>
        </w:tc>
      </w:tr>
      <w:tr>
        <w:trPr/>
        <w:tc>
          <w:tcPr>
            <w:tcW w:w="7740" w:type="dxa"/>
            <w:tcBorders>
              <w:top w:val="single" w:sz="6" w:space="0" w:color="000000"/>
              <w:start w:val="single" w:sz="6" w:space="0" w:color="000000"/>
              <w:bottom w:val="single" w:sz="6" w:space="0" w:color="000000"/>
              <w:end w:val="single" w:sz="6" w:space="0" w:color="000000"/>
            </w:tcBorders>
          </w:tcPr>
          <w:p>
            <w:pPr>
              <w:pStyle w:val="Normal"/>
              <w:rPr/>
            </w:pPr>
            <w:r>
              <w:rPr/>
              <w:t>Communicate the planned changes to translator or data translation systems</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7740" w:type="dxa"/>
            <w:tcBorders>
              <w:top w:val="single" w:sz="6" w:space="0" w:color="000000"/>
              <w:start w:val="single" w:sz="6" w:space="0" w:color="000000"/>
              <w:bottom w:val="single" w:sz="6" w:space="0" w:color="000000"/>
              <w:end w:val="single" w:sz="6" w:space="0" w:color="000000"/>
            </w:tcBorders>
          </w:tcPr>
          <w:p>
            <w:pPr>
              <w:pStyle w:val="Normal"/>
              <w:rPr/>
            </w:pPr>
            <w:r>
              <w:rPr/>
              <w:t>Produce and send to trading partners transaction samples as defined for qualification testing in the TMPT, section on Technical Connectivity and Verification, page 30</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7740" w:type="dxa"/>
            <w:tcBorders>
              <w:top w:val="single" w:sz="6" w:space="0" w:color="000000"/>
              <w:start w:val="single" w:sz="6" w:space="0" w:color="000000"/>
              <w:bottom w:val="single" w:sz="6" w:space="0" w:color="000000"/>
              <w:end w:val="single" w:sz="6" w:space="0" w:color="000000"/>
            </w:tcBorders>
          </w:tcPr>
          <w:p>
            <w:pPr>
              <w:pStyle w:val="Normal"/>
              <w:rPr/>
            </w:pPr>
            <w:r>
              <w:rPr/>
              <w:t xml:space="preserve">Notify trading partners of specific work plans with dates to migrate changes to production at least 2 weeks in advance of change </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7740" w:type="dxa"/>
            <w:tcBorders>
              <w:top w:val="single" w:sz="6" w:space="0" w:color="000000"/>
              <w:start w:val="single" w:sz="6" w:space="0" w:color="000000"/>
              <w:bottom w:val="single" w:sz="6" w:space="0" w:color="000000"/>
              <w:end w:val="single" w:sz="6" w:space="0" w:color="000000"/>
            </w:tcBorders>
          </w:tcPr>
          <w:p>
            <w:pPr>
              <w:pStyle w:val="Normal"/>
              <w:rPr/>
            </w:pPr>
            <w:r>
              <w:rPr/>
              <w:t>Complete the change and confirm successful migration with each trading partner</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bl>
    <w:p>
      <w:pPr>
        <w:pStyle w:val="Heading2"/>
        <w:ind w:hanging="0" w:start="0"/>
        <w:rPr/>
      </w:pPr>
      <w:r>
        <w:rPr/>
        <w:t>Back-end System Changes and/or Updates</w:t>
      </w:r>
    </w:p>
    <w:p>
      <w:pPr>
        <w:pStyle w:val="Normal"/>
        <w:rPr/>
      </w:pPr>
      <w:r>
        <w:rPr/>
        <w:t xml:space="preserve">RMS defines a company’s “back-end systems” as any part of an MP system that exists behind the direct communication interface or connectivity protocol (GISB, FTP, HTTP, etc) with other MPs.  Once the data passes through the communication interface, the data enters the back end system.  Because each MP back-end system architecture is potentially different, back-end systems </w:t>
      </w:r>
      <w:r>
        <w:rPr>
          <w:i/>
          <w:iCs/>
        </w:rPr>
        <w:t xml:space="preserve">could </w:t>
      </w:r>
      <w:r>
        <w:rPr/>
        <w:t>include, but are not limited to, the translation software, the business process management system, or the data management system (database).</w:t>
      </w:r>
    </w:p>
    <w:p>
      <w:pPr>
        <w:pStyle w:val="Normal"/>
        <w:rPr/>
      </w:pPr>
      <w:r>
        <w:rPr/>
      </w:r>
    </w:p>
    <w:p>
      <w:pPr>
        <w:pStyle w:val="Normal"/>
        <w:rPr>
          <w:i/>
          <w:i/>
        </w:rPr>
      </w:pPr>
      <w:r>
        <w:rPr/>
        <w:t>ERCOT and/or MPs are required to take responsibility for any changes they make in their back end system(s) and, if a potential risk is perceived, should test with trading partners to minimize that risk.  MPs should follow change management best-practices, including extensive i</w:t>
      </w:r>
      <w:r>
        <w:rPr>
          <w:iCs/>
        </w:rPr>
        <w:t>nternal testing, regression testing on historical data, etc.</w:t>
      </w:r>
    </w:p>
    <w:p>
      <w:pPr>
        <w:pStyle w:val="Normal"/>
        <w:rPr>
          <w:i/>
          <w:i/>
          <w:iCs/>
        </w:rPr>
      </w:pPr>
      <w:r>
        <w:rPr>
          <w:i/>
          <w:iCs/>
        </w:rPr>
      </w:r>
    </w:p>
    <w:p>
      <w:pPr>
        <w:pStyle w:val="Normal"/>
        <w:rPr/>
      </w:pPr>
      <w:r>
        <w:rPr>
          <w:iCs/>
        </w:rPr>
        <w:t>ERCOT and MPs are not ‘required’ to test when changes are made to their back end system(s).  As part of the company’s internal testing procedures, they may choose to test with all, some, or none of their trading partners.</w:t>
      </w:r>
    </w:p>
    <w:p>
      <w:pPr>
        <w:pStyle w:val="Normal"/>
        <w:rPr>
          <w:iCs/>
        </w:rPr>
      </w:pPr>
      <w:r>
        <w:rPr>
          <w:iCs/>
        </w:rPr>
      </w:r>
    </w:p>
    <w:p>
      <w:pPr>
        <w:pStyle w:val="Normal"/>
        <w:rPr>
          <w:iCs/>
        </w:rPr>
      </w:pPr>
      <w:r>
        <w:rPr>
          <w:iCs/>
        </w:rPr>
        <w:t>RMS considers its good business practice for MPs and ERCOT to notify their trading partners of back-end system changes, replacements, and/or upgrades regardless of whether or not the MP/ERCOT has elected to retest.</w:t>
      </w:r>
    </w:p>
    <w:p>
      <w:pPr>
        <w:pStyle w:val="Heading5"/>
        <w:ind w:hanging="0" w:start="0"/>
        <w:rPr/>
      </w:pPr>
      <w:r>
        <w:rPr/>
        <w:t>Back-end System Change Checklist</w:t>
      </w:r>
    </w:p>
    <w:tbl>
      <w:tblPr>
        <w:tblW w:w="8856" w:type="dxa"/>
        <w:jc w:val="start"/>
        <w:tblInd w:w="108" w:type="dxa"/>
        <w:tblLayout w:type="fixed"/>
        <w:tblCellMar>
          <w:top w:w="0" w:type="dxa"/>
          <w:start w:w="108" w:type="dxa"/>
          <w:bottom w:w="0" w:type="dxa"/>
          <w:end w:w="108" w:type="dxa"/>
        </w:tblCellMar>
      </w:tblPr>
      <w:tblGrid>
        <w:gridCol w:w="7740"/>
        <w:gridCol w:w="1116"/>
      </w:tblGrid>
      <w:tr>
        <w:trPr/>
        <w:tc>
          <w:tcPr>
            <w:tcW w:w="7740" w:type="dxa"/>
            <w:tcBorders>
              <w:top w:val="single" w:sz="6" w:space="0" w:color="000000"/>
              <w:start w:val="single" w:sz="6" w:space="0" w:color="000000"/>
              <w:bottom w:val="single" w:sz="6" w:space="0" w:color="000000"/>
              <w:end w:val="single" w:sz="6" w:space="0" w:color="000000"/>
            </w:tcBorders>
            <w:shd w:fill="000000" w:val="clear"/>
          </w:tcPr>
          <w:p>
            <w:pPr>
              <w:pStyle w:val="Normal"/>
              <w:rPr>
                <w:b/>
              </w:rPr>
            </w:pPr>
            <w:r>
              <w:rPr>
                <w:b/>
              </w:rPr>
              <w:t>Action</w:t>
            </w:r>
          </w:p>
        </w:tc>
        <w:tc>
          <w:tcPr>
            <w:tcW w:w="1116"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sz w:val="28"/>
              </w:rPr>
            </w:pPr>
            <w:r>
              <w:rPr>
                <w:rFonts w:eastAsia="Wingdings 2" w:cs="Wingdings 2" w:ascii="Wingdings 2" w:hAnsi="Wingdings 2"/>
                <w:sz w:val="28"/>
              </w:rPr>
              <w:sym w:font="Wingdings 2" w:char="f0d3"/>
            </w:r>
          </w:p>
        </w:tc>
      </w:tr>
      <w:tr>
        <w:trPr/>
        <w:tc>
          <w:tcPr>
            <w:tcW w:w="7740" w:type="dxa"/>
            <w:tcBorders>
              <w:top w:val="single" w:sz="6" w:space="0" w:color="000000"/>
              <w:start w:val="single" w:sz="6" w:space="0" w:color="000000"/>
              <w:bottom w:val="single" w:sz="6" w:space="0" w:color="000000"/>
              <w:end w:val="single" w:sz="6" w:space="0" w:color="000000"/>
            </w:tcBorders>
          </w:tcPr>
          <w:p>
            <w:pPr>
              <w:pStyle w:val="Normal"/>
              <w:rPr/>
            </w:pPr>
            <w:r>
              <w:rPr/>
              <w:t>Where appropriate, notify TPs of the planned changes to back-end systems</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7740" w:type="dxa"/>
            <w:tcBorders>
              <w:top w:val="single" w:sz="6" w:space="0" w:color="000000"/>
              <w:start w:val="single" w:sz="6" w:space="0" w:color="000000"/>
              <w:bottom w:val="single" w:sz="6" w:space="0" w:color="000000"/>
              <w:end w:val="single" w:sz="6" w:space="0" w:color="000000"/>
            </w:tcBorders>
          </w:tcPr>
          <w:p>
            <w:pPr>
              <w:pStyle w:val="Normal"/>
              <w:rPr/>
            </w:pPr>
            <w:r>
              <w:rPr/>
              <w:t>Where appropriate, communicate plans to TPs, including cutover, migration and back-out plans</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7740" w:type="dxa"/>
            <w:tcBorders>
              <w:top w:val="single" w:sz="6" w:space="0" w:color="000000"/>
              <w:start w:val="single" w:sz="6" w:space="0" w:color="000000"/>
              <w:bottom w:val="single" w:sz="6" w:space="0" w:color="000000"/>
              <w:end w:val="single" w:sz="6" w:space="0" w:color="000000"/>
            </w:tcBorders>
          </w:tcPr>
          <w:p>
            <w:pPr>
              <w:pStyle w:val="Normal"/>
              <w:rPr/>
            </w:pPr>
            <w:r>
              <w:rPr/>
              <w:t xml:space="preserve">Where appropriate, coordinate plan schedules/milestones with TPs </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7740" w:type="dxa"/>
            <w:tcBorders>
              <w:top w:val="single" w:sz="6" w:space="0" w:color="000000"/>
              <w:start w:val="single" w:sz="6" w:space="0" w:color="000000"/>
              <w:bottom w:val="single" w:sz="6" w:space="0" w:color="000000"/>
              <w:end w:val="single" w:sz="6" w:space="0" w:color="000000"/>
            </w:tcBorders>
          </w:tcPr>
          <w:p>
            <w:pPr>
              <w:pStyle w:val="Normal"/>
              <w:rPr/>
            </w:pPr>
            <w:r>
              <w:rPr/>
              <w:t>Complete the change and confirm successful migration with each trading partner</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bl>
    <w:p>
      <w:pPr>
        <w:pStyle w:val="Heading2"/>
        <w:ind w:hanging="0" w:start="0"/>
        <w:rPr/>
      </w:pPr>
      <w:r>
        <w:rPr/>
        <w:t>A Qualified MP Changes Their Service Provider</w:t>
      </w:r>
    </w:p>
    <w:p>
      <w:pPr>
        <w:pStyle w:val="Normal"/>
        <w:rPr/>
      </w:pPr>
      <w:r>
        <w:rPr/>
        <w:t>As stated earlier in the Connectivity and Translator change sections, a qualified MP that chooses to change their MISP to another MISP is required to execute tests identified in the Connectivity and Translator change tests above.  There are no additional requirements if the MP chooses an MISP that has successfully tested in the Marketplace.  This includes changes to internal organizations, external subcontractors, and/or external companies and service providers, exception.</w:t>
      </w:r>
    </w:p>
    <w:p>
      <w:pPr>
        <w:pStyle w:val="Normal"/>
        <w:rPr/>
      </w:pPr>
      <w:r>
        <w:rPr/>
      </w:r>
    </w:p>
    <w:p>
      <w:pPr>
        <w:pStyle w:val="Normal"/>
        <w:rPr/>
      </w:pPr>
      <w:r>
        <w:rPr/>
        <w:t>An MP that chooses to use a Market Interface Service Provider (MISP) that has not successfully completed qualification testing is required to execute the Connectivity and Translator tests, as well as the following test scripts:</w:t>
      </w:r>
    </w:p>
    <w:p>
      <w:pPr>
        <w:pStyle w:val="Normal"/>
        <w:numPr>
          <w:ilvl w:val="0"/>
          <w:numId w:val="2"/>
        </w:numPr>
        <w:rPr/>
      </w:pPr>
      <w:r>
        <w:rPr/>
        <w:t>Script SJ261</w:t>
      </w:r>
    </w:p>
    <w:p>
      <w:pPr>
        <w:pStyle w:val="Normal"/>
        <w:rPr/>
      </w:pPr>
      <w:r>
        <w:rPr/>
      </w:r>
    </w:p>
    <w:p>
      <w:pPr>
        <w:pStyle w:val="Normal"/>
        <w:rPr/>
      </w:pPr>
      <w:r>
        <w:rPr/>
        <w:t>These tests will be executed in an ad-hoc manner, and require ERCOT and at least one TP.  The one TP can be the affiliated CR or TDSP.</w:t>
      </w:r>
    </w:p>
    <w:p>
      <w:pPr>
        <w:pStyle w:val="Normal"/>
        <w:rPr/>
      </w:pPr>
      <w:r>
        <w:rPr/>
      </w:r>
    </w:p>
    <w:p>
      <w:pPr>
        <w:pStyle w:val="Heading5"/>
        <w:ind w:hanging="0" w:start="0"/>
        <w:rPr/>
      </w:pPr>
      <w:r>
        <w:rPr/>
        <w:t>New MISP Retest Worksheet</w:t>
      </w:r>
    </w:p>
    <w:tbl>
      <w:tblPr>
        <w:tblW w:w="8856" w:type="dxa"/>
        <w:jc w:val="start"/>
        <w:tblInd w:w="108" w:type="dxa"/>
        <w:tblLayout w:type="fixed"/>
        <w:tblCellMar>
          <w:top w:w="0" w:type="dxa"/>
          <w:start w:w="108" w:type="dxa"/>
          <w:bottom w:w="0" w:type="dxa"/>
          <w:end w:w="108" w:type="dxa"/>
        </w:tblCellMar>
      </w:tblPr>
      <w:tblGrid>
        <w:gridCol w:w="7740"/>
        <w:gridCol w:w="1116"/>
      </w:tblGrid>
      <w:tr>
        <w:trPr/>
        <w:tc>
          <w:tcPr>
            <w:tcW w:w="7740" w:type="dxa"/>
            <w:tcBorders>
              <w:top w:val="single" w:sz="6" w:space="0" w:color="000000"/>
              <w:start w:val="single" w:sz="6" w:space="0" w:color="000000"/>
              <w:bottom w:val="single" w:sz="6" w:space="0" w:color="000000"/>
              <w:end w:val="single" w:sz="6" w:space="0" w:color="000000"/>
            </w:tcBorders>
            <w:shd w:fill="000000" w:val="clear"/>
          </w:tcPr>
          <w:p>
            <w:pPr>
              <w:pStyle w:val="Normal"/>
              <w:rPr/>
            </w:pPr>
            <w:r>
              <w:rPr/>
              <w:t>Action</w:t>
            </w:r>
          </w:p>
        </w:tc>
        <w:tc>
          <w:tcPr>
            <w:tcW w:w="1116"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sz w:val="28"/>
                <w:szCs w:val="28"/>
              </w:rPr>
            </w:pPr>
            <w:r>
              <w:rPr>
                <w:rFonts w:eastAsia="Wingdings 2" w:cs="Wingdings 2" w:ascii="Wingdings 2" w:hAnsi="Wingdings 2"/>
                <w:sz w:val="28"/>
                <w:szCs w:val="28"/>
              </w:rPr>
              <w:sym w:font="Wingdings 2" w:char="f0d3"/>
            </w:r>
          </w:p>
        </w:tc>
      </w:tr>
      <w:tr>
        <w:trPr/>
        <w:tc>
          <w:tcPr>
            <w:tcW w:w="7740" w:type="dxa"/>
            <w:tcBorders>
              <w:top w:val="single" w:sz="6" w:space="0" w:color="000000"/>
              <w:start w:val="single" w:sz="6" w:space="0" w:color="000000"/>
              <w:bottom w:val="single" w:sz="6" w:space="0" w:color="000000"/>
              <w:end w:val="single" w:sz="6" w:space="0" w:color="000000"/>
            </w:tcBorders>
          </w:tcPr>
          <w:p>
            <w:pPr>
              <w:pStyle w:val="Normal"/>
              <w:rPr/>
            </w:pPr>
            <w:r>
              <w:rPr/>
              <w:t>Provide advance notice of pending change, and draft testing plan to all TPs.  Suggested notice is 20 business days.</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7740" w:type="dxa"/>
            <w:tcBorders>
              <w:top w:val="single" w:sz="6" w:space="0" w:color="000000"/>
              <w:start w:val="single" w:sz="6" w:space="0" w:color="000000"/>
              <w:bottom w:val="single" w:sz="6" w:space="0" w:color="000000"/>
              <w:end w:val="single" w:sz="6" w:space="0" w:color="000000"/>
            </w:tcBorders>
          </w:tcPr>
          <w:p>
            <w:pPr>
              <w:pStyle w:val="Normal"/>
              <w:rPr/>
            </w:pPr>
            <w:r>
              <w:rPr/>
              <w:t>Work with TP to establish a re-testing schedule for all retesting, including connectivity, translator, and identified scripts</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7740" w:type="dxa"/>
            <w:tcBorders>
              <w:top w:val="single" w:sz="6" w:space="0" w:color="000000"/>
              <w:start w:val="single" w:sz="6" w:space="0" w:color="000000"/>
              <w:bottom w:val="single" w:sz="6" w:space="0" w:color="000000"/>
              <w:end w:val="single" w:sz="6" w:space="0" w:color="000000"/>
            </w:tcBorders>
          </w:tcPr>
          <w:p>
            <w:pPr>
              <w:pStyle w:val="Normal"/>
              <w:rPr/>
            </w:pPr>
            <w:r>
              <w:rPr/>
              <w:t>Provide new technical connectivity worksheet to all TPs.  Suggested advance notice is 10 business days.</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7740" w:type="dxa"/>
            <w:tcBorders>
              <w:top w:val="single" w:sz="6" w:space="0" w:color="000000"/>
              <w:start w:val="single" w:sz="6" w:space="0" w:color="000000"/>
              <w:bottom w:val="single" w:sz="6" w:space="0" w:color="000000"/>
              <w:end w:val="single" w:sz="6" w:space="0" w:color="000000"/>
            </w:tcBorders>
          </w:tcPr>
          <w:p>
            <w:pPr>
              <w:pStyle w:val="Normal"/>
              <w:rPr/>
            </w:pPr>
            <w:r>
              <w:rPr/>
              <w:t>Provide transaction samples to all existing TPs.</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7740" w:type="dxa"/>
            <w:tcBorders>
              <w:top w:val="single" w:sz="6" w:space="0" w:color="000000"/>
              <w:start w:val="single" w:sz="6" w:space="0" w:color="000000"/>
              <w:bottom w:val="single" w:sz="6" w:space="0" w:color="000000"/>
              <w:end w:val="single" w:sz="6" w:space="0" w:color="000000"/>
            </w:tcBorders>
          </w:tcPr>
          <w:p>
            <w:pPr>
              <w:pStyle w:val="Normal"/>
              <w:rPr/>
            </w:pPr>
            <w:r>
              <w:rPr/>
              <w:t>Receive feedback on transaction samples from TPs.</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bl>
    <w:p>
      <w:pPr>
        <w:pStyle w:val="Normal"/>
        <w:rPr/>
      </w:pPr>
      <w:r>
        <w:rPr/>
      </w:r>
    </w:p>
    <w:p>
      <w:pPr>
        <w:pStyle w:val="Heading2"/>
        <w:ind w:hanging="0" w:start="0"/>
        <w:rPr/>
      </w:pPr>
      <w:r>
        <w:rPr/>
        <w:t>Miscellaneous Changes</w:t>
      </w:r>
    </w:p>
    <w:p>
      <w:pPr>
        <w:pStyle w:val="Heading3"/>
        <w:ind w:hanging="0" w:start="0"/>
        <w:rPr/>
      </w:pPr>
      <w:r>
        <w:rPr/>
        <w:t>A New Trading Partnership</w:t>
      </w:r>
    </w:p>
    <w:p>
      <w:pPr>
        <w:pStyle w:val="Normal"/>
        <w:rPr/>
      </w:pPr>
      <w:r>
        <w:rPr/>
        <w:t>All new trading partnerships must go through the testing process as prescribed in the TMTP.</w:t>
      </w:r>
    </w:p>
    <w:p>
      <w:pPr>
        <w:pStyle w:val="Normal"/>
        <w:rPr/>
      </w:pPr>
      <w:r>
        <w:rPr/>
        <w:t>There are numerous suggestions that may in the future enable a CR to enter the market easier.  These approaches will be investigated further by the TTPT and RMS in the first quarter of 2002 for potential deployment in testing in the second half of 2002.</w:t>
      </w:r>
    </w:p>
    <w:p>
      <w:pPr>
        <w:pStyle w:val="Heading3"/>
        <w:ind w:hanging="0" w:start="0"/>
        <w:rPr/>
      </w:pPr>
      <w:r>
        <w:rPr/>
        <w:t>Certification Revoked by PUCT</w:t>
      </w:r>
    </w:p>
    <w:p>
      <w:pPr>
        <w:pStyle w:val="Normal"/>
        <w:rPr/>
      </w:pPr>
      <w:r>
        <w:rPr/>
        <w:t>There are scenarios where the PUCT will revoke a CR/REP’s certification.  In this case, retail market qualification is also revoked.  The CR/REP will be treated as a new MP, and must complete the complete qualification testing during a schedule flight of testing in order to re-enter the marketplace.</w:t>
      </w:r>
    </w:p>
    <w:p>
      <w:pPr>
        <w:pStyle w:val="Heading3"/>
        <w:ind w:hanging="0" w:start="0"/>
        <w:rPr/>
      </w:pPr>
      <w:r>
        <w:rPr/>
        <w:t>Dormant MPs</w:t>
      </w:r>
    </w:p>
    <w:p>
      <w:pPr>
        <w:pStyle w:val="Normal"/>
        <w:rPr/>
      </w:pPr>
      <w:r>
        <w:rPr/>
        <w:t>A qualified MP may not choose to actively participate in the Marketplace.  Regardless of a qualified MP’s decision to participate or not, they are required to maintain qualification according to the current Marketplace baseline, including TX SET version and associated emergency change controls.  A dormant MP must complete qualification testing of the current version with at least one TP.  A party that fails to maintain current baseline qualification risks losing qualification.</w:t>
      </w:r>
    </w:p>
    <w:p>
      <w:pPr>
        <w:pStyle w:val="Heading3"/>
        <w:ind w:hanging="0" w:start="0"/>
        <w:rPr/>
      </w:pPr>
      <w:r>
        <w:rPr/>
        <w:t>Marketplace Functional Changes</w:t>
      </w:r>
    </w:p>
    <w:p>
      <w:pPr>
        <w:pStyle w:val="Normal"/>
        <w:rPr/>
      </w:pPr>
      <w:r>
        <w:rPr/>
        <w:t>Marketplace functional changes can include the following:</w:t>
      </w:r>
    </w:p>
    <w:p>
      <w:pPr>
        <w:pStyle w:val="Normal"/>
        <w:numPr>
          <w:ilvl w:val="0"/>
          <w:numId w:val="8"/>
        </w:numPr>
        <w:rPr/>
      </w:pPr>
      <w:r>
        <w:rPr/>
        <w:t>New tracks, such as Continuous Service Agreement (CSA) and Provider of Last Resort (POLR)</w:t>
      </w:r>
    </w:p>
    <w:p>
      <w:pPr>
        <w:pStyle w:val="Normal"/>
        <w:numPr>
          <w:ilvl w:val="0"/>
          <w:numId w:val="8"/>
        </w:numPr>
        <w:rPr/>
      </w:pPr>
      <w:r>
        <w:rPr/>
        <w:t>New TX SET version, including normal and emergency change controls.</w:t>
      </w:r>
    </w:p>
    <w:p>
      <w:pPr>
        <w:pStyle w:val="Normal"/>
        <w:numPr>
          <w:ilvl w:val="0"/>
          <w:numId w:val="8"/>
        </w:numPr>
        <w:rPr/>
      </w:pPr>
      <w:r>
        <w:rPr/>
        <w:t>New transactions, such as the 148.</w:t>
      </w:r>
    </w:p>
    <w:p>
      <w:pPr>
        <w:pStyle w:val="Normal"/>
        <w:rPr/>
      </w:pPr>
      <w:r>
        <w:rPr/>
      </w:r>
    </w:p>
    <w:p>
      <w:pPr>
        <w:pStyle w:val="Normal"/>
        <w:rPr/>
      </w:pPr>
      <w:r>
        <w:rPr/>
        <w:t>Testing and retesting required by Marketplace functional changes will be established using the proven techniques of the TTPT:</w:t>
      </w:r>
    </w:p>
    <w:p>
      <w:pPr>
        <w:pStyle w:val="Normal"/>
        <w:numPr>
          <w:ilvl w:val="0"/>
          <w:numId w:val="6"/>
        </w:numPr>
        <w:rPr/>
      </w:pPr>
      <w:r>
        <w:rPr/>
        <w:t>Feature identification</w:t>
      </w:r>
    </w:p>
    <w:p>
      <w:pPr>
        <w:pStyle w:val="Normal"/>
        <w:numPr>
          <w:ilvl w:val="0"/>
          <w:numId w:val="6"/>
        </w:numPr>
        <w:rPr/>
      </w:pPr>
      <w:r>
        <w:rPr/>
        <w:t>Feature risk assessment, including projected volume, impact of failures, etc.</w:t>
      </w:r>
    </w:p>
    <w:p>
      <w:pPr>
        <w:pStyle w:val="Normal"/>
        <w:numPr>
          <w:ilvl w:val="0"/>
          <w:numId w:val="6"/>
        </w:numPr>
        <w:rPr/>
      </w:pPr>
      <w:r>
        <w:rPr/>
        <w:t>Business Process documentation, including review of TX SET BP documentation</w:t>
      </w:r>
    </w:p>
    <w:p>
      <w:pPr>
        <w:pStyle w:val="Normal"/>
        <w:numPr>
          <w:ilvl w:val="0"/>
          <w:numId w:val="6"/>
        </w:numPr>
        <w:rPr/>
      </w:pPr>
      <w:r>
        <w:rPr/>
        <w:t>Test Scripts, including goals and frames</w:t>
      </w:r>
    </w:p>
    <w:p>
      <w:pPr>
        <w:pStyle w:val="Heading3"/>
        <w:ind w:hanging="0" w:start="0"/>
        <w:rPr/>
      </w:pPr>
      <w:r>
        <w:rPr/>
        <w:t>Marketplace Production Failures</w:t>
      </w:r>
    </w:p>
    <w:p>
      <w:pPr>
        <w:pStyle w:val="Normal"/>
        <w:rPr/>
      </w:pPr>
      <w:r>
        <w:rPr/>
        <w:t xml:space="preserve">Nearly all production failures and/or rejections increase the cost of the Marketplace.  Parties are required to work through any production failures directly with their TPs.  </w:t>
      </w:r>
    </w:p>
    <w:p>
      <w:pPr>
        <w:pStyle w:val="Normal"/>
        <w:rPr/>
      </w:pPr>
      <w:r>
        <w:rPr/>
        <w:t>Parties that are habitually causing these failures may be required to conduct additional testing to demonstrate their qualification.  Parties that are the victims of production failures can use the defined escalation procedures after direction attempts to resolve the problems have failed.</w:t>
      </w:r>
    </w:p>
    <w:p>
      <w:pPr>
        <w:pStyle w:val="Heading3"/>
        <w:ind w:hanging="0" w:start="0"/>
        <w:rPr/>
      </w:pPr>
      <w:r>
        <w:rPr/>
        <w:t>Emergency Changes</w:t>
      </w:r>
    </w:p>
    <w:p>
      <w:pPr>
        <w:pStyle w:val="Normal"/>
        <w:rPr/>
      </w:pPr>
      <w:r>
        <w:rPr/>
        <w:t>There are a number of scenarios that may dictate emergency action to resolve production problems.  This suggests that there needs to be flexibility in all retesting guidelines to address situations like:</w:t>
      </w:r>
    </w:p>
    <w:p>
      <w:pPr>
        <w:pStyle w:val="Normal"/>
        <w:numPr>
          <w:ilvl w:val="0"/>
          <w:numId w:val="5"/>
        </w:numPr>
        <w:rPr/>
      </w:pPr>
      <w:r>
        <w:rPr/>
        <w:t>System failures, disaster recovery, and/or business resumption plan execution</w:t>
      </w:r>
    </w:p>
    <w:p>
      <w:pPr>
        <w:pStyle w:val="Normal"/>
        <w:numPr>
          <w:ilvl w:val="0"/>
          <w:numId w:val="5"/>
        </w:numPr>
        <w:rPr/>
      </w:pPr>
      <w:r>
        <w:rPr/>
        <w:t>Changes of failing internal or subcontracted entities – There are a number of situations that may require a party to quickly replace an entity because of production failures.</w:t>
      </w:r>
    </w:p>
    <w:p>
      <w:pPr>
        <w:pStyle w:val="Heading3"/>
        <w:ind w:hanging="0" w:start="0"/>
        <w:rPr/>
      </w:pPr>
      <w:r>
        <w:rPr/>
        <w:t>Escalation Procedures</w:t>
      </w:r>
    </w:p>
    <w:p>
      <w:pPr>
        <w:pStyle w:val="Normal"/>
        <w:rPr/>
      </w:pPr>
      <w:r>
        <w:rPr/>
        <w:t>RMS recognizes that an MP or ERCOT may need to escalate production issues that cannot be resolved through normal direct trading-partner-to-trading-partner channels.  RMS prescribes the following procedure prior to and after escalation:</w:t>
      </w:r>
    </w:p>
    <w:p>
      <w:pPr>
        <w:pStyle w:val="Normal"/>
        <w:rPr/>
      </w:pPr>
      <w:r>
        <w:rPr/>
      </w:r>
    </w:p>
    <w:p>
      <w:pPr>
        <w:pStyle w:val="Normal"/>
        <w:numPr>
          <w:ilvl w:val="0"/>
          <w:numId w:val="9"/>
        </w:numPr>
        <w:rPr/>
      </w:pPr>
      <w:r>
        <w:rPr/>
        <w:t>MPs/ERCOT should work directly with the trading partner to resolve any problems.  Each party should keep documentation on the problems encountered, and the efforts to resolve the problems.</w:t>
      </w:r>
    </w:p>
    <w:p>
      <w:pPr>
        <w:pStyle w:val="Normal"/>
        <w:numPr>
          <w:ilvl w:val="0"/>
          <w:numId w:val="9"/>
        </w:numPr>
        <w:rPr/>
      </w:pPr>
      <w:r>
        <w:rPr/>
        <w:t>The length of time a party should wait prior to escalation will vary on a case-by-case basis.  It is reasonable for a party to escalate a problem that has been persisting for more than two weeks.</w:t>
      </w:r>
    </w:p>
    <w:p>
      <w:pPr>
        <w:pStyle w:val="Normal"/>
        <w:numPr>
          <w:ilvl w:val="0"/>
          <w:numId w:val="9"/>
        </w:numPr>
        <w:rPr/>
      </w:pPr>
      <w:r>
        <w:rPr/>
        <w:t>A party that requests escalation should complete an ‘Dispute Escalation Report’ and submit it to ERCOT and the ITPTA.  The dispute escalation report should include:</w:t>
      </w:r>
    </w:p>
    <w:p>
      <w:pPr>
        <w:pStyle w:val="Normal"/>
        <w:numPr>
          <w:ilvl w:val="1"/>
          <w:numId w:val="9"/>
        </w:numPr>
        <w:rPr/>
      </w:pPr>
      <w:r>
        <w:rPr/>
        <w:t xml:space="preserve">the parties involved, </w:t>
      </w:r>
    </w:p>
    <w:p>
      <w:pPr>
        <w:pStyle w:val="Normal"/>
        <w:numPr>
          <w:ilvl w:val="1"/>
          <w:numId w:val="9"/>
        </w:numPr>
        <w:rPr/>
      </w:pPr>
      <w:r>
        <w:rPr/>
        <w:t xml:space="preserve">a description of the problem, </w:t>
      </w:r>
    </w:p>
    <w:p>
      <w:pPr>
        <w:pStyle w:val="Normal"/>
        <w:numPr>
          <w:ilvl w:val="1"/>
          <w:numId w:val="9"/>
        </w:numPr>
        <w:rPr/>
      </w:pPr>
      <w:r>
        <w:rPr/>
        <w:t xml:space="preserve">a summary of the effort to resolve the problem prior to escalation, </w:t>
      </w:r>
    </w:p>
    <w:p>
      <w:pPr>
        <w:pStyle w:val="Normal"/>
        <w:numPr>
          <w:ilvl w:val="1"/>
          <w:numId w:val="9"/>
        </w:numPr>
        <w:rPr/>
      </w:pPr>
      <w:r>
        <w:rPr/>
        <w:t xml:space="preserve">their interpretation of the relevant protocols and business rules, </w:t>
      </w:r>
    </w:p>
    <w:p>
      <w:pPr>
        <w:pStyle w:val="Normal"/>
        <w:numPr>
          <w:ilvl w:val="1"/>
          <w:numId w:val="9"/>
        </w:numPr>
        <w:rPr/>
      </w:pPr>
      <w:r>
        <w:rPr/>
        <w:t xml:space="preserve">the amount of time the problem has persisted, </w:t>
      </w:r>
    </w:p>
    <w:p>
      <w:pPr>
        <w:pStyle w:val="Normal"/>
        <w:numPr>
          <w:ilvl w:val="1"/>
          <w:numId w:val="9"/>
        </w:numPr>
        <w:rPr/>
      </w:pPr>
      <w:r>
        <w:rPr/>
        <w:t xml:space="preserve">the number of ESI ID’s impacted by the problems, and </w:t>
      </w:r>
    </w:p>
    <w:p>
      <w:pPr>
        <w:pStyle w:val="Normal"/>
        <w:numPr>
          <w:ilvl w:val="1"/>
          <w:numId w:val="9"/>
        </w:numPr>
        <w:rPr/>
      </w:pPr>
      <w:r>
        <w:rPr/>
        <w:t>the number of bills impacted by the problems.</w:t>
      </w:r>
    </w:p>
    <w:p>
      <w:pPr>
        <w:pStyle w:val="Normal"/>
        <w:numPr>
          <w:ilvl w:val="0"/>
          <w:numId w:val="9"/>
        </w:numPr>
        <w:rPr/>
      </w:pPr>
      <w:r>
        <w:rPr/>
        <w:t>ERCOT and the ITPTA will coordinate the remediation of this issue, including conference calls and remediation plans as required.</w:t>
      </w:r>
    </w:p>
    <w:p>
      <w:pPr>
        <w:pStyle w:val="Normal"/>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DRAFT – FOR DISCUSSION PURPOSES ONLY</w:t>
    </w:r>
  </w:p>
  <w:p>
    <w:pPr>
      <w:pStyle w:val="Footer"/>
      <w:rPr/>
    </w:pPr>
    <w:r>
      <w:rPr/>
      <w:tab/>
      <w:t xml:space="preserve">- </w:t>
    </w:r>
    <w:r>
      <w:rPr/>
      <w:fldChar w:fldCharType="begin"/>
    </w:r>
    <w:r>
      <w:rPr/>
      <w:instrText xml:space="preserve"> PAGE </w:instrText>
    </w:r>
    <w:r>
      <w:rPr/>
      <w:fldChar w:fldCharType="separate"/>
    </w:r>
    <w:r>
      <w:rPr/>
      <w:t>5</w:t>
    </w:r>
    <w:r>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DRAFT – 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ahoma" w:hAnsi="Tahoma" w:eastAsia="Times New Roman" w:cs="Tahoma"/>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48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4"/>
      <w:szCs w:val="26"/>
    </w:rPr>
  </w:style>
  <w:style w:type="paragraph" w:styleId="Heading4">
    <w:name w:val="heading 4"/>
    <w:basedOn w:val="Normal"/>
    <w:next w:val="Normal"/>
    <w:qFormat/>
    <w:pPr>
      <w:keepNext w:val="true"/>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pPr>
      <w:numPr>
        <w:ilvl w:val="4"/>
        <w:numId w:val="1"/>
      </w:numPr>
      <w:spacing w:before="240" w:after="60"/>
      <w:outlineLvl w:val="4"/>
    </w:pPr>
    <w:rPr>
      <w:b/>
      <w:bCs/>
      <w:i/>
      <w:iCs/>
      <w:szCs w:val="26"/>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2001-11-19T01:39:00Z</dcterms:created>
  <dc:creator>George M. Behr</dc:creator>
  <dc:description/>
  <dc:language>en-CA</dc:language>
  <cp:lastModifiedBy>George M. Behr</cp:lastModifiedBy>
  <dcterms:modified xsi:type="dcterms:W3CDTF">2001-11-19T01:46:00Z</dcterms:modified>
  <cp:revision>5</cp:revision>
  <dc:subject/>
  <dc:title>Retail Marketplace Retesting Guidelines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-1966834013</vt:r8>
  </property>
  <property fmtid="{D5CDD505-2E9C-101B-9397-08002B2CF9AE}" pid="3" name="_AuthorEmail">
    <vt:lpwstr>GBehr@EnergyServicesGroup.net</vt:lpwstr>
  </property>
  <property fmtid="{D5CDD505-2E9C-101B-9397-08002B2CF9AE}" pid="4" name="_AuthorEmailDisplayName">
    <vt:lpwstr>George Behr</vt:lpwstr>
  </property>
  <property fmtid="{D5CDD505-2E9C-101B-9397-08002B2CF9AE}" pid="5" name="_EmailSubject">
    <vt:lpwstr>First Draft of Retesting Guidelines</vt:lpwstr>
  </property>
  <property fmtid="{D5CDD505-2E9C-101B-9397-08002B2CF9AE}" pid="6" name="_PreviousAdHocReviewCycleID">
    <vt:r8>-1966834013</vt:r8>
  </property>
</Properties>
</file>