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u w:val="single"/>
        </w:rPr>
      </w:pPr>
      <w:r>
        <w:rPr>
          <w:u w:val="single"/>
        </w:rPr>
        <w:t>APPROVED – 11/12/01</w:t>
      </w:r>
    </w:p>
    <w:p>
      <w:pPr>
        <w:pStyle w:val="BodyText2"/>
        <w:rPr/>
      </w:pPr>
      <w:r>
        <w:rPr/>
        <w:t>MINUTES OF THE ERCOT RETAIL MARKET SUBCOMMITTEE (RMS) MEETING</w:t>
      </w:r>
    </w:p>
    <w:p>
      <w:pPr>
        <w:pStyle w:val="Normal"/>
        <w:jc w:val="center"/>
        <w:rPr>
          <w:rFonts w:ascii="Times New Roman" w:hAnsi="Times New Roman" w:cs="Times New Roman"/>
          <w:b/>
          <w:bCs/>
          <w:sz w:val="22"/>
        </w:rPr>
      </w:pPr>
      <w:r>
        <w:rPr>
          <w:rFonts w:cs="Times New Roman" w:ascii="Times New Roman" w:hAnsi="Times New Roman"/>
          <w:b/>
          <w:bCs/>
          <w:sz w:val="22"/>
        </w:rPr>
        <w:t>Hilton Austin Airport Hotel</w:t>
      </w:r>
    </w:p>
    <w:p>
      <w:pPr>
        <w:pStyle w:val="Heading4"/>
        <w:ind w:hanging="0" w:start="0"/>
        <w:rPr>
          <w:rFonts w:ascii="Times New Roman" w:hAnsi="Times New Roman" w:cs="Times New Roman"/>
          <w:u w:val="none"/>
        </w:rPr>
      </w:pPr>
      <w:r>
        <w:rPr>
          <w:rFonts w:cs="Times New Roman" w:ascii="Times New Roman" w:hAnsi="Times New Roman"/>
          <w:u w:val="none"/>
        </w:rPr>
        <w:t>Austin, Texas</w:t>
      </w:r>
    </w:p>
    <w:p>
      <w:pPr>
        <w:pStyle w:val="Normal"/>
        <w:jc w:val="center"/>
        <w:rPr>
          <w:rFonts w:ascii="Times New Roman" w:hAnsi="Times New Roman" w:cs="Times New Roman"/>
          <w:sz w:val="22"/>
        </w:rPr>
      </w:pPr>
      <w:r>
        <w:rPr>
          <w:rFonts w:cs="Times New Roman" w:ascii="Times New Roman" w:hAnsi="Times New Roman"/>
          <w:b/>
          <w:bCs/>
          <w:sz w:val="22"/>
        </w:rPr>
        <w:t xml:space="preserve">October 31, 2001  </w:t>
      </w:r>
    </w:p>
    <w:p>
      <w:pPr>
        <w:pStyle w:val="Normal"/>
        <w:tabs>
          <w:tab w:val="clear" w:pos="720"/>
          <w:tab w:val="left" w:pos="-720" w:leader="none"/>
        </w:tabs>
        <w:suppressAutoHyphens w:val="true"/>
        <w:jc w:val="both"/>
        <w:rPr>
          <w:rFonts w:ascii="Times New Roman" w:hAnsi="Times New Roman" w:cs="Times New Roman"/>
          <w:b/>
          <w:spacing w:val="-3"/>
          <w:sz w:val="22"/>
        </w:rPr>
      </w:pPr>
      <w:r>
        <w:rPr>
          <w:rFonts w:cs="Times New Roman" w:ascii="Times New Roman" w:hAnsi="Times New Roman"/>
          <w:b/>
          <w:spacing w:val="-3"/>
          <w:sz w:val="22"/>
        </w:rPr>
      </w:r>
    </w:p>
    <w:p>
      <w:pPr>
        <w:pStyle w:val="Normal"/>
        <w:numPr>
          <w:ilvl w:val="0"/>
          <w:numId w:val="0"/>
        </w:numPr>
        <w:tabs>
          <w:tab w:val="clear" w:pos="720"/>
          <w:tab w:val="left" w:pos="-720" w:leader="none"/>
        </w:tabs>
        <w:suppressAutoHyphens w:val="true"/>
        <w:jc w:val="both"/>
        <w:outlineLvl w:val="0"/>
        <w:rPr>
          <w:rFonts w:ascii="Times New Roman" w:hAnsi="Times New Roman" w:cs="Times New Roman"/>
          <w:b/>
          <w:spacing w:val="-3"/>
          <w:sz w:val="22"/>
        </w:rPr>
      </w:pPr>
      <w:r>
        <w:rPr>
          <w:rFonts w:cs="Times New Roman" w:ascii="Times New Roman" w:hAnsi="Times New Roman"/>
          <w:spacing w:val="-3"/>
          <w:sz w:val="22"/>
        </w:rPr>
        <w:t>Chair Nancy Hetrick called the meeting to order on October 31, 2001 at 10:05 a.m.</w:t>
      </w:r>
    </w:p>
    <w:p>
      <w:pPr>
        <w:pStyle w:val="Normal"/>
        <w:tabs>
          <w:tab w:val="clear" w:pos="720"/>
          <w:tab w:val="left" w:pos="-720" w:leader="none"/>
        </w:tabs>
        <w:suppressAutoHyphens w:val="true"/>
        <w:jc w:val="both"/>
        <w:rPr>
          <w:rFonts w:ascii="Times New Roman" w:hAnsi="Times New Roman" w:cs="Times New Roman"/>
          <w:b/>
          <w:spacing w:val="-3"/>
          <w:sz w:val="22"/>
        </w:rPr>
      </w:pPr>
      <w:r>
        <w:rPr>
          <w:rFonts w:cs="Times New Roman" w:ascii="Times New Roman" w:hAnsi="Times New Roman"/>
          <w:b/>
          <w:spacing w:val="-3"/>
          <w:sz w:val="22"/>
        </w:rPr>
      </w:r>
    </w:p>
    <w:p>
      <w:pPr>
        <w:pStyle w:val="Normal"/>
        <w:numPr>
          <w:ilvl w:val="0"/>
          <w:numId w:val="0"/>
        </w:numPr>
        <w:tabs>
          <w:tab w:val="clear" w:pos="720"/>
          <w:tab w:val="left" w:pos="-720" w:leader="none"/>
        </w:tabs>
        <w:suppressAutoHyphens w:val="true"/>
        <w:jc w:val="both"/>
        <w:outlineLvl w:val="0"/>
        <w:rPr>
          <w:rFonts w:ascii="Times New Roman" w:hAnsi="Times New Roman" w:cs="Times New Roman"/>
          <w:spacing w:val="-3"/>
          <w:sz w:val="22"/>
        </w:rPr>
      </w:pPr>
      <w:r>
        <w:rPr>
          <w:rFonts w:cs="Times New Roman" w:ascii="Times New Roman" w:hAnsi="Times New Roman"/>
          <w:spacing w:val="-3"/>
          <w:sz w:val="22"/>
          <w:u w:val="single"/>
        </w:rPr>
        <w:t>Attendance:</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tbl>
      <w:tblPr>
        <w:tblW w:w="9018" w:type="dxa"/>
        <w:jc w:val="start"/>
        <w:tblInd w:w="0" w:type="dxa"/>
        <w:tblLayout w:type="fixed"/>
        <w:tblCellMar>
          <w:top w:w="0" w:type="dxa"/>
          <w:start w:w="108" w:type="dxa"/>
          <w:bottom w:w="0" w:type="dxa"/>
          <w:end w:w="108" w:type="dxa"/>
        </w:tblCellMar>
      </w:tblPr>
      <w:tblGrid>
        <w:gridCol w:w="2268"/>
        <w:gridCol w:w="2520"/>
        <w:gridCol w:w="4230"/>
      </w:tblGrid>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Hernandez, Jerry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AEN</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 Representative (for Dreyfus)</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Bender, Don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Boyd, Mark</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 Representative (for Grossardt)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Priestley, Vanus</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AES NewEnergy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 Representative (for Zdenek)</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Zdenek, Pam</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AES NewEnergy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Jones, Randy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Calpine</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Crockett, Brenda</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Dynegy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Hetrick, Nancy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Enron</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Member/Chair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Breakfield, Jim</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Ledet, John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Lennox, John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Bojorquez, Bill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Broadrick, Cherie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Grimm, Larry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Noel, Tom</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CEO</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Odle, David</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Roberts, Marcia</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LCRA</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Meloro, Christine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NewPower</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Kunkel, Richard</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Occidental Chemical</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Payton, Tom</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Occidental Chemical</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 Representative (for Madden)</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Corona, Connie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PUCT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Dolese, Trish</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PUCT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Gross, Theresa</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PUCT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Brzezinski, Dick</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Patrick, Kyle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 xml:space="preserve">Member Representative (for Mauzy) </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Pyles, Adam</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Shumate, Walt</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Shumate &amp; Associates</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Vickers, Joe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STEC</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 Representative (for Packard)</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Darnell, Dave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Systrends</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TDTWG Chair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McDowell, Jim</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Systrends</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Smith, Kevin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Tenaska</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Biedrzycki, Carol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Texas Rose</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Bratton, Charlie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Fenoglio, Walt</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Flowers, B. J.</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Hobbs, Darrell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Keller, Ken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Popelka, Jill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Prince, Jill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Robertson, Johnny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Weathersbee, Tommy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bl>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Heading2"/>
        <w:tabs>
          <w:tab w:val="clear" w:pos="0"/>
          <w:tab w:val="left" w:pos="-720" w:leader="none"/>
        </w:tabs>
        <w:suppressAutoHyphens w:val="false"/>
        <w:ind w:hanging="0" w:start="0"/>
        <w:rPr>
          <w:rFonts w:ascii="Times New Roman" w:hAnsi="Times New Roman" w:cs="Times New Roman"/>
          <w:spacing w:val="0"/>
          <w:sz w:val="22"/>
          <w:szCs w:val="24"/>
        </w:rPr>
      </w:pPr>
      <w:r>
        <w:rPr>
          <w:rFonts w:cs="Times New Roman" w:ascii="Times New Roman" w:hAnsi="Times New Roman"/>
          <w:spacing w:val="0"/>
          <w:sz w:val="22"/>
          <w:szCs w:val="24"/>
        </w:rPr>
      </w:r>
    </w:p>
    <w:p>
      <w:pPr>
        <w:pStyle w:val="Heading2"/>
        <w:tabs>
          <w:tab w:val="clear" w:pos="0"/>
          <w:tab w:val="left" w:pos="-720" w:leader="none"/>
          <w:tab w:val="left" w:pos="2160" w:leader="none"/>
          <w:tab w:val="left" w:pos="4410" w:leader="none"/>
        </w:tabs>
        <w:ind w:hanging="0" w:start="0"/>
        <w:rPr>
          <w:rFonts w:ascii="Times New Roman" w:hAnsi="Times New Roman" w:cs="Times New Roman"/>
          <w:spacing w:val="0"/>
          <w:szCs w:val="24"/>
        </w:rPr>
      </w:pPr>
      <w:r>
        <w:rPr>
          <w:rFonts w:cs="Times New Roman" w:ascii="Times New Roman" w:hAnsi="Times New Roman"/>
          <w:spacing w:val="0"/>
          <w:szCs w:val="24"/>
        </w:rPr>
        <w:t>Conversion to Version 1.4</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ind w:start="720" w:end="0"/>
        <w:jc w:val="both"/>
        <w:rPr/>
      </w:pPr>
      <w:r>
        <w:rPr>
          <w:rFonts w:cs="Times New Roman" w:ascii="Times New Roman" w:hAnsi="Times New Roman"/>
          <w:sz w:val="22"/>
        </w:rPr>
        <w:t xml:space="preserve">Nancy Hetrick reviewed the issue to be addressed related to the conversion to Version 1.4.  </w:t>
      </w:r>
      <w:r>
        <w:rPr>
          <w:rFonts w:cs="Times New Roman" w:ascii="Times New Roman" w:hAnsi="Times New Roman"/>
          <w:color w:val="000000"/>
          <w:sz w:val="22"/>
        </w:rPr>
        <w:t xml:space="preserve">The following conversion options were provided for consideration:  </w:t>
      </w:r>
    </w:p>
    <w:p>
      <w:pPr>
        <w:pStyle w:val="Normal"/>
        <w:ind w:start="720" w:end="0"/>
        <w:jc w:val="both"/>
        <w:rPr>
          <w:rFonts w:ascii="Times New Roman" w:hAnsi="Times New Roman" w:cs="Times New Roman"/>
          <w:color w:val="000000"/>
          <w:sz w:val="22"/>
        </w:rPr>
      </w:pPr>
      <w:r>
        <w:rPr>
          <w:rFonts w:cs="Times New Roman" w:ascii="Times New Roman" w:hAnsi="Times New Roman"/>
          <w:color w:val="000000"/>
          <w:sz w:val="22"/>
        </w:rPr>
      </w:r>
    </w:p>
    <w:p>
      <w:pPr>
        <w:pStyle w:val="Normal"/>
        <w:ind w:start="720" w:end="0"/>
        <w:jc w:val="both"/>
        <w:rPr>
          <w:rFonts w:ascii="Times New Roman" w:hAnsi="Times New Roman" w:cs="Times New Roman"/>
          <w:color w:val="000000"/>
          <w:sz w:val="22"/>
        </w:rPr>
      </w:pPr>
      <w:r>
        <w:rPr>
          <w:rFonts w:cs="Times New Roman" w:ascii="Times New Roman" w:hAnsi="Times New Roman"/>
          <w:color w:val="000000"/>
          <w:sz w:val="22"/>
          <w:u w:val="single"/>
        </w:rPr>
        <w:t>Option D:  New Proposed Option</w:t>
      </w:r>
    </w:p>
    <w:p>
      <w:pPr>
        <w:pStyle w:val="Normal"/>
        <w:ind w:start="720" w:end="0"/>
        <w:jc w:val="both"/>
        <w:rPr>
          <w:rFonts w:ascii="Times New Roman" w:hAnsi="Times New Roman" w:cs="Times New Roman"/>
          <w:color w:val="000000"/>
          <w:sz w:val="22"/>
        </w:rPr>
      </w:pPr>
      <w:r>
        <w:rPr>
          <w:rFonts w:cs="Times New Roman" w:ascii="Times New Roman" w:hAnsi="Times New Roman"/>
          <w:color w:val="000000"/>
          <w:sz w:val="22"/>
        </w:rPr>
      </w:r>
    </w:p>
    <w:p>
      <w:pPr>
        <w:pStyle w:val="Normal"/>
        <w:ind w:start="720" w:end="0"/>
        <w:jc w:val="both"/>
        <w:rPr/>
      </w:pPr>
      <w:r>
        <w:rPr>
          <w:rFonts w:cs="Times New Roman" w:ascii="Times New Roman" w:hAnsi="Times New Roman"/>
          <w:color w:val="000000"/>
          <w:sz w:val="22"/>
        </w:rPr>
        <w:t>Tommy Weathersbee reviewed Option D proposed by TXU that was distributed on October 30</w:t>
      </w:r>
      <w:r>
        <w:rPr>
          <w:rFonts w:cs="Times New Roman" w:ascii="Times New Roman" w:hAnsi="Times New Roman"/>
          <w:color w:val="000000"/>
          <w:sz w:val="22"/>
          <w:vertAlign w:val="superscript"/>
        </w:rPr>
        <w:t>th</w:t>
      </w:r>
      <w:r>
        <w:rPr>
          <w:rFonts w:cs="Times New Roman" w:ascii="Times New Roman" w:hAnsi="Times New Roman"/>
          <w:color w:val="000000"/>
          <w:sz w:val="22"/>
        </w:rPr>
        <w:t xml:space="preserve">, and responded to questions.   </w:t>
      </w:r>
    </w:p>
    <w:p>
      <w:pPr>
        <w:pStyle w:val="Normal"/>
        <w:autoSpaceDE w:val="true"/>
        <w:ind w:firstLine="720" w:end="0"/>
        <w:rPr>
          <w:rFonts w:ascii="Times New Roman" w:hAnsi="Times New Roman" w:cs="Times New Roman"/>
          <w:color w:val="000000"/>
          <w:sz w:val="22"/>
        </w:rPr>
      </w:pPr>
      <w:r>
        <w:rPr>
          <w:rFonts w:cs="Times New Roman" w:ascii="Times New Roman" w:hAnsi="Times New Roman"/>
          <w:color w:val="000000"/>
          <w:sz w:val="22"/>
        </w:rPr>
      </w:r>
    </w:p>
    <w:p>
      <w:pPr>
        <w:pStyle w:val="Normal"/>
        <w:numPr>
          <w:ilvl w:val="0"/>
          <w:numId w:val="9"/>
        </w:numPr>
        <w:autoSpaceDE w:val="true"/>
        <w:rPr>
          <w:rFonts w:ascii="Times New Roman" w:hAnsi="Times New Roman" w:eastAsia="Arial Unicode MS" w:cs="Times New Roman"/>
          <w:color w:val="000000"/>
          <w:sz w:val="22"/>
        </w:rPr>
      </w:pPr>
      <w:r>
        <w:rPr>
          <w:rFonts w:cs="Times New Roman" w:ascii="Times New Roman" w:hAnsi="Times New Roman"/>
          <w:color w:val="000000"/>
          <w:sz w:val="22"/>
        </w:rPr>
        <w:t>All market participants migrate to Version 1.4 on December 15 - 16, 2001.</w:t>
      </w:r>
    </w:p>
    <w:p>
      <w:pPr>
        <w:pStyle w:val="Normal"/>
        <w:numPr>
          <w:ilvl w:val="0"/>
          <w:numId w:val="9"/>
        </w:numPr>
        <w:rPr>
          <w:rFonts w:ascii="Times New Roman" w:hAnsi="Times New Roman" w:eastAsia="Arial Unicode MS" w:cs="Times New Roman"/>
          <w:color w:val="000000"/>
          <w:sz w:val="22"/>
        </w:rPr>
      </w:pPr>
      <w:r>
        <w:rPr>
          <w:rFonts w:cs="Times New Roman" w:ascii="Times New Roman" w:hAnsi="Times New Roman"/>
          <w:color w:val="000000"/>
          <w:sz w:val="22"/>
        </w:rPr>
        <w:t>TXU migrates to a limited version 1.4 on December 15 -16, 2001.  TXU’s limited release includes support of the following transactions:</w:t>
      </w:r>
    </w:p>
    <w:p>
      <w:pPr>
        <w:pStyle w:val="Normal"/>
        <w:numPr>
          <w:ilvl w:val="0"/>
          <w:numId w:val="9"/>
        </w:numPr>
        <w:ind w:hanging="0" w:start="1440" w:end="0"/>
        <w:rPr>
          <w:rFonts w:ascii="Times New Roman" w:hAnsi="Times New Roman" w:cs="Times New Roman"/>
          <w:color w:val="000000"/>
          <w:sz w:val="22"/>
          <w:szCs w:val="20"/>
        </w:rPr>
      </w:pPr>
      <w:r>
        <w:rPr>
          <w:rFonts w:cs="Times New Roman" w:ascii="Times New Roman" w:hAnsi="Times New Roman"/>
          <w:color w:val="000000"/>
          <w:sz w:val="22"/>
          <w:szCs w:val="20"/>
        </w:rPr>
        <w:t>867_03; 867_04</w:t>
      </w:r>
    </w:p>
    <w:p>
      <w:pPr>
        <w:pStyle w:val="Normal"/>
        <w:numPr>
          <w:ilvl w:val="0"/>
          <w:numId w:val="9"/>
        </w:numPr>
        <w:ind w:hanging="0" w:start="1440" w:end="0"/>
        <w:rPr>
          <w:rFonts w:ascii="Times New Roman" w:hAnsi="Times New Roman" w:cs="Times New Roman"/>
          <w:color w:val="000000"/>
          <w:sz w:val="22"/>
          <w:szCs w:val="20"/>
        </w:rPr>
      </w:pPr>
      <w:r>
        <w:rPr>
          <w:rFonts w:cs="Times New Roman" w:ascii="Times New Roman" w:hAnsi="Times New Roman"/>
          <w:color w:val="000000"/>
          <w:sz w:val="22"/>
          <w:szCs w:val="20"/>
        </w:rPr>
        <w:t>814_03 (switches only); 814_04; 814_08; 814_09</w:t>
      </w:r>
    </w:p>
    <w:p>
      <w:pPr>
        <w:pStyle w:val="Normal"/>
        <w:numPr>
          <w:ilvl w:val="0"/>
          <w:numId w:val="9"/>
        </w:numPr>
        <w:ind w:hanging="0" w:start="1440" w:end="0"/>
        <w:rPr>
          <w:rFonts w:ascii="Times New Roman" w:hAnsi="Times New Roman" w:cs="Times New Roman"/>
          <w:color w:val="000000"/>
          <w:sz w:val="22"/>
          <w:szCs w:val="20"/>
        </w:rPr>
      </w:pPr>
      <w:r>
        <w:rPr>
          <w:rFonts w:cs="Times New Roman" w:ascii="Times New Roman" w:hAnsi="Times New Roman"/>
          <w:color w:val="000000"/>
          <w:sz w:val="22"/>
          <w:szCs w:val="20"/>
        </w:rPr>
        <w:t>810_02</w:t>
      </w:r>
    </w:p>
    <w:p>
      <w:pPr>
        <w:pStyle w:val="Normal"/>
        <w:numPr>
          <w:ilvl w:val="0"/>
          <w:numId w:val="9"/>
        </w:numPr>
        <w:ind w:hanging="0" w:start="1440" w:end="0"/>
        <w:rPr>
          <w:rFonts w:ascii="Times New Roman" w:hAnsi="Times New Roman" w:cs="Times New Roman"/>
          <w:color w:val="000000"/>
          <w:sz w:val="22"/>
          <w:szCs w:val="20"/>
        </w:rPr>
      </w:pPr>
      <w:r>
        <w:rPr>
          <w:rFonts w:cs="Times New Roman" w:ascii="Times New Roman" w:hAnsi="Times New Roman"/>
          <w:color w:val="000000"/>
          <w:sz w:val="22"/>
          <w:szCs w:val="20"/>
        </w:rPr>
        <w:t>814_20 (creates only)</w:t>
      </w:r>
    </w:p>
    <w:p>
      <w:pPr>
        <w:pStyle w:val="Normal"/>
        <w:numPr>
          <w:ilvl w:val="0"/>
          <w:numId w:val="9"/>
        </w:numPr>
        <w:ind w:hanging="0" w:start="1440" w:end="0"/>
        <w:rPr>
          <w:rFonts w:ascii="Times New Roman" w:hAnsi="Times New Roman" w:cs="Times New Roman"/>
          <w:color w:val="000000"/>
          <w:sz w:val="22"/>
          <w:szCs w:val="20"/>
        </w:rPr>
      </w:pPr>
      <w:r>
        <w:rPr>
          <w:rFonts w:cs="Times New Roman" w:ascii="Times New Roman" w:hAnsi="Times New Roman"/>
          <w:color w:val="000000"/>
          <w:sz w:val="22"/>
          <w:szCs w:val="20"/>
        </w:rPr>
        <w:t>824</w:t>
      </w:r>
    </w:p>
    <w:p>
      <w:pPr>
        <w:pStyle w:val="Normal"/>
        <w:ind w:firstLine="360" w:start="1080" w:end="0"/>
        <w:rPr>
          <w:rFonts w:ascii="Times New Roman" w:hAnsi="Times New Roman" w:cs="Times New Roman"/>
          <w:vanish/>
          <w:color w:val="000000"/>
          <w:sz w:val="22"/>
        </w:rPr>
      </w:pPr>
      <w:r>
        <w:rPr>
          <w:rFonts w:cs="Times New Roman" w:ascii="Times New Roman" w:hAnsi="Times New Roman"/>
          <w:color w:val="000000"/>
          <w:sz w:val="22"/>
        </w:rPr>
        <w:t>TXU cannot support the 867_02 historical usage or 814_20 maintenance transactions.</w:t>
        <w:tab/>
      </w:r>
    </w:p>
    <w:p>
      <w:pPr>
        <w:pStyle w:val="Normal"/>
        <w:rPr>
          <w:rFonts w:ascii="Times New Roman" w:hAnsi="Times New Roman" w:cs="Times New Roman"/>
          <w:vanish/>
          <w:color w:val="000000"/>
          <w:sz w:val="22"/>
        </w:rPr>
      </w:pPr>
      <w:r>
        <w:rPr>
          <w:rFonts w:cs="Times New Roman" w:ascii="Times New Roman" w:hAnsi="Times New Roman"/>
          <w:vanish/>
          <w:color w:val="000000"/>
          <w:sz w:val="22"/>
        </w:rPr>
      </w:r>
    </w:p>
    <w:p>
      <w:pPr>
        <w:pStyle w:val="Normal"/>
        <w:numPr>
          <w:ilvl w:val="0"/>
          <w:numId w:val="9"/>
        </w:numPr>
        <w:rPr>
          <w:rFonts w:ascii="Times New Roman" w:hAnsi="Times New Roman" w:cs="Times New Roman"/>
          <w:color w:val="000000"/>
          <w:sz w:val="22"/>
        </w:rPr>
      </w:pPr>
      <w:r>
        <w:rPr>
          <w:rFonts w:cs="Times New Roman" w:ascii="Times New Roman" w:hAnsi="Times New Roman"/>
          <w:color w:val="000000"/>
          <w:sz w:val="22"/>
        </w:rPr>
        <w:t>Allow all new CRs certified in Flight 1001 and the current CRs participating in pilot to begin switching using Version 1.4 814 transactions on December 17, 2001.</w:t>
      </w:r>
    </w:p>
    <w:p>
      <w:pPr>
        <w:pStyle w:val="Normal"/>
        <w:numPr>
          <w:ilvl w:val="0"/>
          <w:numId w:val="9"/>
        </w:numPr>
        <w:rPr>
          <w:rFonts w:ascii="Times New Roman" w:hAnsi="Times New Roman" w:cs="Times New Roman"/>
          <w:color w:val="000000"/>
          <w:sz w:val="22"/>
        </w:rPr>
      </w:pPr>
      <w:r>
        <w:rPr>
          <w:rFonts w:cs="Times New Roman" w:ascii="Times New Roman" w:hAnsi="Times New Roman"/>
          <w:color w:val="000000"/>
          <w:sz w:val="22"/>
        </w:rPr>
        <w:t>Continue under current pilot rules (TDSP remains bundled).</w:t>
      </w:r>
    </w:p>
    <w:p>
      <w:pPr>
        <w:pStyle w:val="Normal"/>
        <w:numPr>
          <w:ilvl w:val="0"/>
          <w:numId w:val="9"/>
        </w:numPr>
        <w:jc w:val="both"/>
        <w:rPr>
          <w:rFonts w:ascii="Times New Roman" w:hAnsi="Times New Roman" w:cs="Times New Roman"/>
          <w:color w:val="000000"/>
          <w:sz w:val="22"/>
        </w:rPr>
      </w:pPr>
      <w:r>
        <w:rPr>
          <w:rFonts w:cs="Times New Roman" w:ascii="Times New Roman" w:hAnsi="Times New Roman"/>
          <w:color w:val="000000"/>
          <w:sz w:val="22"/>
        </w:rPr>
        <w:t>Market opens with current schedule of January 1, 2002.</w:t>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ind w:start="720" w:end="0"/>
        <w:jc w:val="both"/>
        <w:rPr/>
      </w:pPr>
      <w:r>
        <w:rPr>
          <w:rFonts w:cs="Times New Roman" w:ascii="Times New Roman" w:hAnsi="Times New Roman"/>
          <w:color w:val="000000"/>
          <w:sz w:val="22"/>
        </w:rPr>
        <w:t>Jim Breakfield expressed concern that, because of the direction of recent discussions, Entergy had been working toward converting to Version 1.4 over the weekend of December 22-23, 2001. Entergy (Retail) is investigating whether it will be able to cutover on December 15-16, 2001.  The RMS discussed and generally agreed that cutting over on the weekend of December 15</w:t>
      </w:r>
      <w:r>
        <w:rPr>
          <w:rFonts w:cs="Times New Roman" w:ascii="Times New Roman" w:hAnsi="Times New Roman"/>
          <w:color w:val="000000"/>
          <w:sz w:val="22"/>
          <w:vertAlign w:val="superscript"/>
        </w:rPr>
        <w:t>th</w:t>
      </w:r>
      <w:r>
        <w:rPr>
          <w:rFonts w:cs="Times New Roman" w:ascii="Times New Roman" w:hAnsi="Times New Roman"/>
          <w:color w:val="000000"/>
          <w:sz w:val="22"/>
        </w:rPr>
        <w:t>-16</w:t>
      </w:r>
      <w:r>
        <w:rPr>
          <w:rFonts w:cs="Times New Roman" w:ascii="Times New Roman" w:hAnsi="Times New Roman"/>
          <w:color w:val="000000"/>
          <w:sz w:val="22"/>
          <w:vertAlign w:val="superscript"/>
        </w:rPr>
        <w:t>th</w:t>
      </w:r>
      <w:r>
        <w:rPr>
          <w:rFonts w:cs="Times New Roman" w:ascii="Times New Roman" w:hAnsi="Times New Roman"/>
          <w:color w:val="000000"/>
          <w:sz w:val="22"/>
        </w:rPr>
        <w:t xml:space="preserve"> is highly preferable.  TXU agreed to perform only essential meter change-outs during the last three weeks of December.  ERCOT indicated that they were comfortable with TXU’s new proposal.               </w:t>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ind w:start="720" w:end="0"/>
        <w:jc w:val="both"/>
        <w:rPr/>
      </w:pPr>
      <w:r>
        <w:rPr>
          <w:rFonts w:cs="Times New Roman" w:ascii="Times New Roman" w:hAnsi="Times New Roman"/>
          <w:color w:val="000000"/>
          <w:sz w:val="22"/>
        </w:rPr>
        <w:t>The following two options (A &amp; B) were presented and discussed at the October 25</w:t>
      </w:r>
      <w:r>
        <w:rPr>
          <w:rFonts w:cs="Times New Roman" w:ascii="Times New Roman" w:hAnsi="Times New Roman"/>
          <w:color w:val="000000"/>
          <w:sz w:val="22"/>
          <w:vertAlign w:val="superscript"/>
        </w:rPr>
        <w:t>th</w:t>
      </w:r>
      <w:r>
        <w:rPr>
          <w:rFonts w:cs="Times New Roman" w:ascii="Times New Roman" w:hAnsi="Times New Roman"/>
          <w:color w:val="000000"/>
          <w:sz w:val="22"/>
        </w:rPr>
        <w:t xml:space="preserve"> RMS Meeting. </w:t>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Heading1"/>
        <w:ind w:start="0" w:end="0"/>
        <w:rPr/>
      </w:pPr>
      <w:r>
        <w:rPr>
          <w:rFonts w:cs="Times New Roman" w:ascii="Times New Roman" w:hAnsi="Times New Roman"/>
          <w:u w:val="none"/>
        </w:rPr>
        <w:tab/>
        <w:tab/>
      </w:r>
      <w:r>
        <w:rPr>
          <w:rFonts w:cs="Times New Roman" w:ascii="Times New Roman" w:hAnsi="Times New Roman"/>
        </w:rPr>
        <w:t>Option A:  Presented at RMS October 25</w:t>
      </w:r>
      <w:r>
        <w:rPr>
          <w:rFonts w:cs="Times New Roman" w:ascii="Times New Roman" w:hAnsi="Times New Roman"/>
          <w:vertAlign w:val="superscript"/>
        </w:rPr>
        <w:t>th</w:t>
      </w:r>
      <w:r>
        <w:rPr>
          <w:rFonts w:cs="Times New Roman" w:ascii="Times New Roman" w:hAnsi="Times New Roman"/>
        </w:rPr>
        <w:t xml:space="preserve"> Meeting</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6"/>
        </w:numPr>
        <w:jc w:val="both"/>
        <w:rPr>
          <w:rFonts w:ascii="Times New Roman" w:hAnsi="Times New Roman" w:cs="Times New Roman"/>
          <w:sz w:val="22"/>
        </w:rPr>
      </w:pPr>
      <w:r>
        <w:rPr>
          <w:rFonts w:cs="Times New Roman" w:ascii="Times New Roman" w:hAnsi="Times New Roman"/>
          <w:sz w:val="22"/>
        </w:rPr>
        <w:t>ERCOT, all CRs, and all TDSPs, except TXU TDSP, will move their systems to Texas SET Version 1.4 during the weekend of December 22-23, 2001.</w:t>
      </w:r>
    </w:p>
    <w:p>
      <w:pPr>
        <w:pStyle w:val="Normal"/>
        <w:numPr>
          <w:ilvl w:val="0"/>
          <w:numId w:val="6"/>
        </w:numPr>
        <w:jc w:val="both"/>
        <w:rPr>
          <w:rFonts w:ascii="Times New Roman" w:hAnsi="Times New Roman" w:cs="Times New Roman"/>
          <w:sz w:val="22"/>
        </w:rPr>
      </w:pPr>
      <w:r>
        <w:rPr>
          <w:rFonts w:cs="Times New Roman" w:ascii="Times New Roman" w:hAnsi="Times New Roman"/>
          <w:sz w:val="22"/>
        </w:rPr>
        <w:t>TXU TDSP will move their systems to Texas SET version 1.4 during the weekend of December 29-30, 2001.</w:t>
      </w:r>
    </w:p>
    <w:p>
      <w:pPr>
        <w:pStyle w:val="Normal"/>
        <w:numPr>
          <w:ilvl w:val="0"/>
          <w:numId w:val="6"/>
        </w:numPr>
        <w:jc w:val="both"/>
        <w:rPr>
          <w:rFonts w:ascii="Times New Roman" w:hAnsi="Times New Roman" w:cs="Times New Roman"/>
          <w:sz w:val="22"/>
        </w:rPr>
      </w:pPr>
      <w:r>
        <w:rPr>
          <w:rFonts w:cs="Times New Roman" w:ascii="Times New Roman" w:hAnsi="Times New Roman"/>
          <w:sz w:val="22"/>
        </w:rPr>
        <w:t xml:space="preserve">A moratorium on CRs submitting 814 transactions will occur between December 14, 2001 at 24:00 hours and January 1, 2002 at 24:00 hours. </w:t>
      </w:r>
    </w:p>
    <w:p>
      <w:pPr>
        <w:pStyle w:val="Normal"/>
        <w:numPr>
          <w:ilvl w:val="0"/>
          <w:numId w:val="6"/>
        </w:numPr>
        <w:jc w:val="both"/>
        <w:rPr>
          <w:rFonts w:ascii="Times New Roman" w:hAnsi="Times New Roman" w:cs="Times New Roman"/>
          <w:sz w:val="22"/>
        </w:rPr>
      </w:pPr>
      <w:r>
        <w:rPr>
          <w:rFonts w:cs="Times New Roman" w:ascii="Times New Roman" w:hAnsi="Times New Roman"/>
          <w:sz w:val="22"/>
        </w:rPr>
        <w:t>All TDSPs, except TXU TDSP, can begin sending 867’s, 810’s, and receiving 820’s Version 1.4 on December 24, 2001 at 00:00:01 hours.</w:t>
      </w:r>
    </w:p>
    <w:p>
      <w:pPr>
        <w:pStyle w:val="Normal"/>
        <w:numPr>
          <w:ilvl w:val="0"/>
          <w:numId w:val="6"/>
        </w:numPr>
        <w:rPr>
          <w:rFonts w:ascii="Times New Roman" w:hAnsi="Times New Roman" w:cs="Times New Roman"/>
          <w:sz w:val="22"/>
        </w:rPr>
      </w:pPr>
      <w:r>
        <w:rPr>
          <w:rFonts w:cs="Times New Roman" w:ascii="Times New Roman" w:hAnsi="Times New Roman"/>
          <w:sz w:val="22"/>
        </w:rPr>
        <w:t xml:space="preserve">For settlement purposes only, ERCOT will estimate the usage for the TXU territory for December 21, 2001 through December 28, 2001. </w:t>
      </w:r>
    </w:p>
    <w:p>
      <w:pPr>
        <w:pStyle w:val="Normal"/>
        <w:ind w:start="720" w:end="0"/>
        <w:rPr>
          <w:rFonts w:ascii="Times New Roman" w:hAnsi="Times New Roman" w:cs="Times New Roman"/>
          <w:color w:val="000000"/>
          <w:sz w:val="22"/>
        </w:rPr>
      </w:pPr>
      <w:r>
        <w:rPr>
          <w:rFonts w:cs="Times New Roman" w:ascii="Times New Roman" w:hAnsi="Times New Roman"/>
          <w:color w:val="000000"/>
          <w:sz w:val="22"/>
        </w:rPr>
      </w:r>
    </w:p>
    <w:p>
      <w:pPr>
        <w:pStyle w:val="BodyText"/>
        <w:jc w:val="start"/>
        <w:rPr/>
      </w:pPr>
      <w:r>
        <w:rPr>
          <w:rFonts w:cs="Times New Roman" w:ascii="Times New Roman" w:hAnsi="Times New Roman"/>
        </w:rPr>
        <w:tab/>
      </w:r>
      <w:r>
        <w:rPr>
          <w:rFonts w:cs="Times New Roman" w:ascii="Times New Roman" w:hAnsi="Times New Roman"/>
          <w:u w:val="single"/>
        </w:rPr>
        <w:t>Option B:  Presented by NewPower at October 25</w:t>
      </w:r>
      <w:r>
        <w:rPr>
          <w:rFonts w:cs="Times New Roman" w:ascii="Times New Roman" w:hAnsi="Times New Roman"/>
          <w:u w:val="single"/>
          <w:vertAlign w:val="superscript"/>
        </w:rPr>
        <w:t>th</w:t>
      </w:r>
      <w:r>
        <w:rPr>
          <w:rFonts w:cs="Times New Roman" w:ascii="Times New Roman" w:hAnsi="Times New Roman"/>
          <w:u w:val="single"/>
        </w:rPr>
        <w:t xml:space="preserve"> RMS Meeting</w:t>
      </w:r>
    </w:p>
    <w:p>
      <w:pPr>
        <w:pStyle w:val="BodyText"/>
        <w:jc w:val="start"/>
        <w:rPr>
          <w:rFonts w:ascii="Times New Roman" w:hAnsi="Times New Roman" w:cs="Times New Roman"/>
          <w:u w:val="single"/>
        </w:rPr>
      </w:pPr>
      <w:r>
        <w:rPr>
          <w:rFonts w:cs="Times New Roman" w:ascii="Times New Roman" w:hAnsi="Times New Roman"/>
          <w:u w:val="single"/>
        </w:rPr>
      </w:r>
    </w:p>
    <w:p>
      <w:pPr>
        <w:pStyle w:val="BodyText"/>
        <w:numPr>
          <w:ilvl w:val="0"/>
          <w:numId w:val="5"/>
        </w:numPr>
        <w:jc w:val="start"/>
        <w:rPr>
          <w:rFonts w:ascii="Times New Roman" w:hAnsi="Times New Roman" w:cs="Times New Roman"/>
        </w:rPr>
      </w:pPr>
      <w:r>
        <w:rPr>
          <w:rFonts w:cs="Times New Roman" w:ascii="Times New Roman" w:hAnsi="Times New Roman"/>
        </w:rPr>
        <w:t xml:space="preserve">All market participants migrate to Version 1.4 on December 27-28, 2001. </w:t>
      </w:r>
    </w:p>
    <w:p>
      <w:pPr>
        <w:pStyle w:val="BodyText"/>
        <w:numPr>
          <w:ilvl w:val="0"/>
          <w:numId w:val="5"/>
        </w:numPr>
        <w:jc w:val="start"/>
        <w:rPr>
          <w:rFonts w:ascii="Times New Roman" w:hAnsi="Times New Roman" w:cs="Times New Roman"/>
        </w:rPr>
      </w:pPr>
      <w:r>
        <w:rPr>
          <w:rFonts w:cs="Times New Roman" w:ascii="Times New Roman" w:hAnsi="Times New Roman"/>
        </w:rPr>
        <w:t>All market participants close down their production systems on December 27-28, 2001 to facilitate the migration.</w:t>
      </w:r>
    </w:p>
    <w:p>
      <w:pPr>
        <w:pStyle w:val="BodyText"/>
        <w:numPr>
          <w:ilvl w:val="0"/>
          <w:numId w:val="5"/>
        </w:numPr>
        <w:jc w:val="start"/>
        <w:rPr>
          <w:rFonts w:ascii="Times New Roman" w:hAnsi="Times New Roman" w:cs="Times New Roman"/>
        </w:rPr>
      </w:pPr>
      <w:r>
        <w:rPr>
          <w:rFonts w:cs="Times New Roman" w:ascii="Times New Roman" w:hAnsi="Times New Roman"/>
        </w:rPr>
        <w:t>Moratorium on 814 transactions is between December 21, 2001 and January 2, 2002.</w:t>
      </w:r>
    </w:p>
    <w:p>
      <w:pPr>
        <w:pStyle w:val="BodyText"/>
        <w:numPr>
          <w:ilvl w:val="0"/>
          <w:numId w:val="5"/>
        </w:numPr>
        <w:jc w:val="start"/>
        <w:rPr>
          <w:rFonts w:ascii="Times New Roman" w:hAnsi="Times New Roman" w:cs="Times New Roman"/>
        </w:rPr>
      </w:pPr>
      <w:r>
        <w:rPr>
          <w:rFonts w:cs="Times New Roman" w:ascii="Times New Roman" w:hAnsi="Times New Roman"/>
        </w:rPr>
        <w:t>Contingency dates are December 29-31, 2001.</w:t>
      </w:r>
    </w:p>
    <w:p>
      <w:pPr>
        <w:pStyle w:val="BodyText"/>
        <w:numPr>
          <w:ilvl w:val="0"/>
          <w:numId w:val="5"/>
        </w:numPr>
        <w:rPr>
          <w:rFonts w:ascii="Times New Roman" w:hAnsi="Times New Roman" w:cs="Times New Roman"/>
        </w:rPr>
      </w:pPr>
      <w:r>
        <w:rPr>
          <w:rFonts w:cs="Times New Roman" w:ascii="Times New Roman" w:hAnsi="Times New Roman"/>
        </w:rPr>
        <w:t>Three days of full market estimating occurs in all TDSP territories.</w:t>
      </w:r>
    </w:p>
    <w:p>
      <w:pPr>
        <w:pStyle w:val="Normal"/>
        <w:numPr>
          <w:ilvl w:val="0"/>
          <w:numId w:val="5"/>
        </w:numPr>
        <w:jc w:val="both"/>
        <w:rPr>
          <w:rFonts w:ascii="Times New Roman" w:hAnsi="Times New Roman" w:cs="Times New Roman"/>
          <w:sz w:val="22"/>
        </w:rPr>
      </w:pPr>
      <w:r>
        <w:rPr>
          <w:rFonts w:cs="Times New Roman" w:ascii="Times New Roman" w:hAnsi="Times New Roman"/>
          <w:sz w:val="22"/>
        </w:rPr>
        <w:t>Three days of 867.03 backlog is created in all TDSP territories.</w:t>
      </w:r>
    </w:p>
    <w:p>
      <w:pPr>
        <w:pStyle w:val="Normal"/>
        <w:ind w:start="720" w:end="0"/>
        <w:jc w:val="both"/>
        <w:rPr>
          <w:rFonts w:ascii="Times New Roman" w:hAnsi="Times New Roman" w:cs="Times New Roman"/>
          <w:color w:val="000000"/>
          <w:sz w:val="22"/>
        </w:rPr>
      </w:pPr>
      <w:r>
        <w:rPr>
          <w:rFonts w:cs="Times New Roman" w:ascii="Times New Roman" w:hAnsi="Times New Roman"/>
          <w:color w:val="000000"/>
          <w:sz w:val="22"/>
        </w:rPr>
      </w:r>
    </w:p>
    <w:p>
      <w:pPr>
        <w:pStyle w:val="BodyText"/>
        <w:tabs>
          <w:tab w:val="left" w:pos="-720" w:leader="none"/>
          <w:tab w:val="left" w:pos="0" w:leader="none"/>
          <w:tab w:val="left" w:pos="720" w:leader="none"/>
        </w:tabs>
        <w:rPr/>
      </w:pPr>
      <w:r>
        <w:rPr>
          <w:rFonts w:cs="Times New Roman" w:ascii="Times New Roman" w:hAnsi="Times New Roman"/>
        </w:rPr>
        <w:tab/>
      </w:r>
      <w:r>
        <w:rPr>
          <w:rFonts w:cs="Times New Roman" w:ascii="Times New Roman" w:hAnsi="Times New Roman"/>
          <w:u w:val="single"/>
        </w:rPr>
        <w:t>Option C:  New Proposed Option</w:t>
      </w:r>
    </w:p>
    <w:p>
      <w:pPr>
        <w:pStyle w:val="BodyText"/>
        <w:rPr>
          <w:rFonts w:ascii="Times New Roman" w:hAnsi="Times New Roman" w:cs="Times New Roman"/>
          <w:u w:val="single"/>
        </w:rPr>
      </w:pPr>
      <w:r>
        <w:rPr>
          <w:rFonts w:cs="Times New Roman" w:ascii="Times New Roman" w:hAnsi="Times New Roman"/>
          <w:u w:val="single"/>
        </w:rPr>
      </w:r>
    </w:p>
    <w:p>
      <w:pPr>
        <w:pStyle w:val="BodyText"/>
        <w:numPr>
          <w:ilvl w:val="0"/>
          <w:numId w:val="4"/>
        </w:numPr>
        <w:rPr>
          <w:rFonts w:ascii="Times New Roman" w:hAnsi="Times New Roman" w:cs="Times New Roman"/>
        </w:rPr>
      </w:pPr>
      <w:r>
        <w:rPr>
          <w:rFonts w:cs="Times New Roman" w:ascii="Times New Roman" w:hAnsi="Times New Roman"/>
        </w:rPr>
        <w:t>All market participants migrate to Version 1.4 on December 29-30, 2001.</w:t>
      </w:r>
    </w:p>
    <w:p>
      <w:pPr>
        <w:pStyle w:val="BodyText"/>
        <w:numPr>
          <w:ilvl w:val="0"/>
          <w:numId w:val="4"/>
        </w:numPr>
        <w:rPr>
          <w:rFonts w:ascii="Times New Roman" w:hAnsi="Times New Roman" w:cs="Times New Roman"/>
        </w:rPr>
      </w:pPr>
      <w:r>
        <w:rPr>
          <w:rFonts w:cs="Times New Roman" w:ascii="Times New Roman" w:hAnsi="Times New Roman"/>
        </w:rPr>
        <w:t xml:space="preserve">Allow all new CRs certified in Flight 1001 and the current CRs already submitting pilot switches to begin submitting Version 1.4 814 transactions on January 2, 2002. </w:t>
      </w:r>
    </w:p>
    <w:p>
      <w:pPr>
        <w:pStyle w:val="BodyText"/>
        <w:numPr>
          <w:ilvl w:val="0"/>
          <w:numId w:val="4"/>
        </w:numPr>
        <w:rPr>
          <w:rFonts w:ascii="Times New Roman" w:hAnsi="Times New Roman" w:cs="Times New Roman"/>
        </w:rPr>
      </w:pPr>
      <w:r>
        <w:rPr>
          <w:rFonts w:cs="Times New Roman" w:ascii="Times New Roman" w:hAnsi="Times New Roman"/>
        </w:rPr>
        <w:t xml:space="preserve">Continue under current pilot rules and lift 5% customer class cap and 20% ESI ID load cap. </w:t>
      </w:r>
    </w:p>
    <w:p>
      <w:pPr>
        <w:pStyle w:val="BodyText"/>
        <w:numPr>
          <w:ilvl w:val="0"/>
          <w:numId w:val="4"/>
        </w:numPr>
        <w:rPr>
          <w:rFonts w:ascii="Times New Roman" w:hAnsi="Times New Roman" w:cs="Times New Roman"/>
        </w:rPr>
      </w:pPr>
      <w:r>
        <w:rPr>
          <w:rFonts w:cs="Times New Roman" w:ascii="Times New Roman" w:hAnsi="Times New Roman"/>
        </w:rPr>
        <w:t>Current CRs can continue to submit Version 1.3 814 switches for either December or January through December 21</w:t>
      </w:r>
      <w:r>
        <w:rPr>
          <w:rFonts w:cs="Times New Roman" w:ascii="Times New Roman" w:hAnsi="Times New Roman"/>
          <w:vertAlign w:val="superscript"/>
        </w:rPr>
        <w:t>st</w:t>
      </w:r>
      <w:r>
        <w:rPr>
          <w:rFonts w:cs="Times New Roman" w:ascii="Times New Roman" w:hAnsi="Times New Roman"/>
        </w:rPr>
        <w:t>.</w:t>
      </w:r>
    </w:p>
    <w:p>
      <w:pPr>
        <w:pStyle w:val="BodyText"/>
        <w:numPr>
          <w:ilvl w:val="0"/>
          <w:numId w:val="5"/>
        </w:numPr>
        <w:rPr>
          <w:rFonts w:ascii="Times New Roman" w:hAnsi="Times New Roman" w:cs="Times New Roman"/>
        </w:rPr>
      </w:pPr>
      <w:r>
        <w:rPr>
          <w:rFonts w:cs="Times New Roman" w:ascii="Times New Roman" w:hAnsi="Times New Roman"/>
        </w:rPr>
        <w:t>Moratorium on 814 transactions is between December 21, 2001 and January 2, 2002.</w:t>
      </w:r>
    </w:p>
    <w:p>
      <w:pPr>
        <w:pStyle w:val="BodyText"/>
        <w:numPr>
          <w:ilvl w:val="0"/>
          <w:numId w:val="4"/>
        </w:numPr>
        <w:rPr>
          <w:rFonts w:ascii="Times New Roman" w:hAnsi="Times New Roman" w:cs="Times New Roman"/>
        </w:rPr>
      </w:pPr>
      <w:r>
        <w:rPr>
          <w:rFonts w:cs="Times New Roman" w:ascii="Times New Roman" w:hAnsi="Times New Roman"/>
        </w:rPr>
        <w:t>Option does not create a backlog on 867.03 for any TDSP.</w:t>
      </w:r>
    </w:p>
    <w:p>
      <w:pPr>
        <w:pStyle w:val="BodyText"/>
        <w:numPr>
          <w:ilvl w:val="0"/>
          <w:numId w:val="4"/>
        </w:numPr>
        <w:rPr>
          <w:rFonts w:ascii="Times New Roman" w:hAnsi="Times New Roman" w:cs="Times New Roman"/>
        </w:rPr>
      </w:pPr>
      <w:r>
        <w:rPr>
          <w:rFonts w:cs="Times New Roman" w:ascii="Times New Roman" w:hAnsi="Times New Roman"/>
        </w:rPr>
        <w:t>ERCOT sends 867.03 to CRs for all TDSP territories uninterrupted.</w:t>
      </w:r>
    </w:p>
    <w:p>
      <w:pPr>
        <w:pStyle w:val="BodyText"/>
        <w:numPr>
          <w:ilvl w:val="0"/>
          <w:numId w:val="4"/>
        </w:numPr>
        <w:rPr>
          <w:rFonts w:ascii="Times New Roman" w:hAnsi="Times New Roman" w:cs="Times New Roman"/>
        </w:rPr>
      </w:pPr>
      <w:r>
        <w:rPr>
          <w:rFonts w:cs="Times New Roman" w:ascii="Times New Roman" w:hAnsi="Times New Roman"/>
        </w:rPr>
        <w:t>TDSP sends 810’s and receive 820’s uninterrupted.</w:t>
      </w:r>
    </w:p>
    <w:p>
      <w:pPr>
        <w:pStyle w:val="BodyText"/>
        <w:numPr>
          <w:ilvl w:val="0"/>
          <w:numId w:val="4"/>
        </w:numPr>
        <w:rPr>
          <w:rFonts w:ascii="Times New Roman" w:hAnsi="Times New Roman" w:cs="Times New Roman"/>
        </w:rPr>
      </w:pPr>
      <w:r>
        <w:rPr>
          <w:rFonts w:cs="Times New Roman" w:ascii="Times New Roman" w:hAnsi="Times New Roman"/>
        </w:rPr>
        <w:t>Transitioning customers to the affiliated CR begins on February 1, 2002.</w:t>
      </w:r>
    </w:p>
    <w:p>
      <w:pPr>
        <w:pStyle w:val="Normal"/>
        <w:numPr>
          <w:ilvl w:val="0"/>
          <w:numId w:val="4"/>
        </w:numPr>
        <w:jc w:val="both"/>
        <w:rPr>
          <w:rFonts w:ascii="Times New Roman" w:hAnsi="Times New Roman" w:cs="Times New Roman"/>
          <w:color w:val="000000"/>
          <w:sz w:val="22"/>
        </w:rPr>
      </w:pPr>
      <w:r>
        <w:rPr>
          <w:rFonts w:cs="Times New Roman" w:ascii="Times New Roman" w:hAnsi="Times New Roman"/>
          <w:sz w:val="22"/>
        </w:rPr>
        <w:t>Customer transitioned to the affiliated CR and begins receiving Price To Beat on February 1, 2002.</w:t>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ind w:start="720" w:end="0"/>
        <w:jc w:val="both"/>
        <w:rPr>
          <w:rFonts w:ascii="Times New Roman" w:hAnsi="Times New Roman" w:cs="Times New Roman"/>
          <w:color w:val="000000"/>
          <w:sz w:val="22"/>
        </w:rPr>
      </w:pPr>
      <w:r>
        <w:rPr>
          <w:rFonts w:cs="Times New Roman" w:ascii="Times New Roman" w:hAnsi="Times New Roman"/>
          <w:color w:val="000000"/>
          <w:sz w:val="22"/>
        </w:rPr>
        <w:t>Hetrick reported on comments received related to risk mitigation and potential contingency plans.  An unofficial straw vote of the above 4 options was conducted to determine the need for further discussion and investigation as follows:</w:t>
      </w:r>
    </w:p>
    <w:p>
      <w:pPr>
        <w:pStyle w:val="Normal"/>
        <w:ind w:start="1200" w:end="0"/>
        <w:jc w:val="both"/>
        <w:rPr>
          <w:rFonts w:ascii="Times New Roman" w:hAnsi="Times New Roman" w:cs="Times New Roman"/>
          <w:color w:val="000000"/>
          <w:sz w:val="22"/>
        </w:rPr>
      </w:pPr>
      <w:r>
        <w:rPr>
          <w:rFonts w:cs="Times New Roman" w:ascii="Times New Roman" w:hAnsi="Times New Roman"/>
          <w:color w:val="000000"/>
          <w:sz w:val="22"/>
        </w:rPr>
      </w:r>
    </w:p>
    <w:p>
      <w:pPr>
        <w:pStyle w:val="Normal"/>
        <w:numPr>
          <w:ilvl w:val="0"/>
          <w:numId w:val="3"/>
        </w:numPr>
        <w:jc w:val="both"/>
        <w:rPr>
          <w:rFonts w:ascii="Times New Roman" w:hAnsi="Times New Roman" w:cs="Times New Roman"/>
          <w:color w:val="000000"/>
          <w:sz w:val="22"/>
        </w:rPr>
      </w:pPr>
      <w:r>
        <w:rPr>
          <w:rFonts w:cs="Times New Roman" w:ascii="Times New Roman" w:hAnsi="Times New Roman"/>
          <w:color w:val="000000"/>
          <w:sz w:val="22"/>
        </w:rPr>
        <w:t>Option D – 13</w:t>
      </w:r>
    </w:p>
    <w:p>
      <w:pPr>
        <w:pStyle w:val="Normal"/>
        <w:numPr>
          <w:ilvl w:val="0"/>
          <w:numId w:val="3"/>
        </w:numPr>
        <w:jc w:val="both"/>
        <w:rPr>
          <w:rFonts w:ascii="Times New Roman" w:hAnsi="Times New Roman" w:cs="Times New Roman"/>
          <w:color w:val="000000"/>
          <w:sz w:val="22"/>
        </w:rPr>
      </w:pPr>
      <w:r>
        <w:rPr>
          <w:rFonts w:cs="Times New Roman" w:ascii="Times New Roman" w:hAnsi="Times New Roman"/>
          <w:color w:val="000000"/>
          <w:sz w:val="22"/>
        </w:rPr>
        <w:t xml:space="preserve">Options A, B, or C – 1  </w:t>
      </w:r>
    </w:p>
    <w:p>
      <w:pPr>
        <w:pStyle w:val="Normal"/>
        <w:jc w:val="both"/>
        <w:rPr>
          <w:rFonts w:ascii="Times New Roman" w:hAnsi="Times New Roman" w:cs="Times New Roman"/>
          <w:vanish/>
          <w:color w:val="000000"/>
          <w:sz w:val="22"/>
        </w:rPr>
      </w:pPr>
      <w:r>
        <w:rPr>
          <w:rFonts w:cs="Times New Roman" w:ascii="Times New Roman" w:hAnsi="Times New Roman"/>
          <w:vanish/>
          <w:color w:val="000000"/>
          <w:sz w:val="22"/>
        </w:rPr>
      </w:r>
    </w:p>
    <w:p>
      <w:pPr>
        <w:pStyle w:val="Normal"/>
        <w:jc w:val="both"/>
        <w:rPr>
          <w:rFonts w:ascii="Times New Roman" w:hAnsi="Times New Roman" w:cs="Times New Roman"/>
          <w:vanish/>
          <w:color w:val="000000"/>
          <w:sz w:val="22"/>
        </w:rPr>
      </w:pPr>
      <w:r>
        <w:rPr>
          <w:rFonts w:cs="Times New Roman" w:ascii="Times New Roman" w:hAnsi="Times New Roman"/>
          <w:vanish/>
          <w:color w:val="000000"/>
          <w:sz w:val="22"/>
        </w:rPr>
      </w:r>
    </w:p>
    <w:p>
      <w:pPr>
        <w:pStyle w:val="Normal"/>
        <w:ind w:start="720" w:end="0"/>
        <w:jc w:val="both"/>
        <w:rPr>
          <w:rFonts w:ascii="Times New Roman" w:hAnsi="Times New Roman" w:cs="Times New Roman"/>
          <w:color w:val="000000"/>
          <w:sz w:val="22"/>
        </w:rPr>
      </w:pPr>
      <w:r>
        <w:rPr>
          <w:rFonts w:cs="Times New Roman" w:ascii="Times New Roman" w:hAnsi="Times New Roman"/>
          <w:color w:val="000000"/>
          <w:sz w:val="22"/>
        </w:rPr>
        <w:t xml:space="preserve">As requested by the PUCT, Dave Odle provided and discussed the high level functional differences between Versions 1.3 and 1.4.  Because of concerns and media inquiries, Ogle was asked to discuss the approximate percent system changes that are required related to the 810’s (Invoicing), 814’s (Registration), 867’s (Usage), and 650’s (Service Order) when converting from Version 1.3 to Version 1.4.  In general, the changes are minimal.            </w:t>
      </w:r>
    </w:p>
    <w:p>
      <w:pPr>
        <w:pStyle w:val="Normal"/>
        <w:jc w:val="both"/>
        <w:rPr>
          <w:rFonts w:ascii="Times New Roman" w:hAnsi="Times New Roman" w:cs="Times New Roman"/>
          <w:color w:val="000000"/>
          <w:sz w:val="22"/>
          <w:szCs w:val="20"/>
        </w:rPr>
      </w:pPr>
      <w:r>
        <w:rPr>
          <w:rFonts w:cs="Times New Roman" w:ascii="Times New Roman" w:hAnsi="Times New Roman"/>
          <w:color w:val="000000"/>
          <w:sz w:val="22"/>
          <w:szCs w:val="20"/>
        </w:rPr>
      </w:r>
    </w:p>
    <w:p>
      <w:pPr>
        <w:pStyle w:val="Normal"/>
        <w:ind w:start="720" w:end="0"/>
        <w:jc w:val="both"/>
        <w:rPr>
          <w:rFonts w:ascii="Times New Roman" w:hAnsi="Times New Roman" w:cs="Times New Roman"/>
          <w:sz w:val="22"/>
          <w:szCs w:val="20"/>
        </w:rPr>
      </w:pPr>
      <w:r>
        <w:rPr>
          <w:rFonts w:cs="Times New Roman" w:ascii="Times New Roman" w:hAnsi="Times New Roman"/>
          <w:sz w:val="22"/>
          <w:szCs w:val="20"/>
        </w:rPr>
        <w:t>Responses to the following questions from the PUCT were summarized:</w:t>
      </w:r>
    </w:p>
    <w:p>
      <w:pPr>
        <w:pStyle w:val="Normal"/>
        <w:numPr>
          <w:ilvl w:val="0"/>
          <w:numId w:val="8"/>
        </w:numPr>
        <w:jc w:val="both"/>
        <w:rPr>
          <w:rFonts w:ascii="Times New Roman" w:hAnsi="Times New Roman" w:cs="Times New Roman"/>
          <w:sz w:val="22"/>
          <w:szCs w:val="20"/>
        </w:rPr>
      </w:pPr>
      <w:r>
        <w:rPr>
          <w:rFonts w:cs="Times New Roman" w:ascii="Times New Roman" w:hAnsi="Times New Roman"/>
          <w:sz w:val="22"/>
          <w:szCs w:val="20"/>
        </w:rPr>
        <w:t>Can we reasonably expect that functions in Categories 1 and 2 will function with the same degree of reliability in Version 1.4 as they currently do in Version 1.3?  {Yes}</w:t>
      </w:r>
    </w:p>
    <w:p>
      <w:pPr>
        <w:pStyle w:val="Normal"/>
        <w:numPr>
          <w:ilvl w:val="0"/>
          <w:numId w:val="8"/>
        </w:numPr>
        <w:jc w:val="both"/>
        <w:rPr>
          <w:rFonts w:ascii="Times New Roman" w:hAnsi="Times New Roman" w:cs="Times New Roman"/>
          <w:sz w:val="22"/>
          <w:szCs w:val="20"/>
        </w:rPr>
      </w:pPr>
      <w:r>
        <w:rPr>
          <w:rFonts w:cs="Times New Roman" w:ascii="Times New Roman" w:hAnsi="Times New Roman"/>
          <w:sz w:val="22"/>
          <w:szCs w:val="20"/>
        </w:rPr>
        <w:t>What are the risks associated with the failure of functions in Categories 3 and 4?  What are the ramifications of those failures? What workarounds are conceivable?  What workarounds are practical?</w:t>
      </w:r>
      <w:r>
        <w:rPr>
          <w:rFonts w:cs="Times New Roman" w:ascii="Times New Roman" w:hAnsi="Times New Roman"/>
          <w:color w:val="000000"/>
          <w:sz w:val="22"/>
        </w:rPr>
        <w:t xml:space="preserve">  {TXU will provide procedures for 867_02 workarounds}</w:t>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ind w:start="720" w:end="0"/>
        <w:jc w:val="both"/>
        <w:rPr>
          <w:rFonts w:ascii="Times New Roman" w:hAnsi="Times New Roman" w:cs="Times New Roman"/>
          <w:sz w:val="22"/>
          <w:szCs w:val="20"/>
        </w:rPr>
      </w:pPr>
      <w:r>
        <w:rPr>
          <w:rFonts w:cs="Times New Roman" w:ascii="Times New Roman" w:hAnsi="Times New Roman"/>
          <w:sz w:val="22"/>
          <w:szCs w:val="20"/>
        </w:rPr>
        <w:t xml:space="preserve">The PUCT also provided the following </w:t>
      </w:r>
      <w:r>
        <w:rPr>
          <w:rFonts w:cs="Times New Roman" w:ascii="Times New Roman" w:hAnsi="Times New Roman"/>
          <w:color w:val="000000"/>
          <w:sz w:val="22"/>
        </w:rPr>
        <w:t>questions and concerns to be addressed by the RMS related to the options presented so far for converting to Texas SET Version 1.4:</w:t>
      </w:r>
    </w:p>
    <w:p>
      <w:pPr>
        <w:pStyle w:val="Normal"/>
        <w:numPr>
          <w:ilvl w:val="1"/>
          <w:numId w:val="8"/>
        </w:numPr>
        <w:tabs>
          <w:tab w:val="clear" w:pos="720"/>
          <w:tab w:val="left" w:pos="1440" w:leader="none"/>
        </w:tabs>
        <w:ind w:hanging="360" w:start="1440" w:end="0"/>
        <w:jc w:val="both"/>
        <w:rPr>
          <w:rFonts w:ascii="Times New Roman" w:hAnsi="Times New Roman" w:cs="Times New Roman"/>
          <w:sz w:val="22"/>
          <w:szCs w:val="20"/>
        </w:rPr>
      </w:pPr>
      <w:r>
        <w:rPr>
          <w:rFonts w:cs="Times New Roman" w:ascii="Times New Roman" w:hAnsi="Times New Roman"/>
          <w:sz w:val="22"/>
          <w:szCs w:val="20"/>
        </w:rPr>
        <w:t xml:space="preserve">None of the schedules thus far have allowed sufficient time for production testing.  Market participants have suggested that 4-6 weeks is appropriate. {December 17, 2001 to January 2, 2002; most MPs were comfortable with the time allowed; ERCOT will work with new CRs related to pending switch requests}  </w:t>
      </w:r>
    </w:p>
    <w:p>
      <w:pPr>
        <w:pStyle w:val="Normal"/>
        <w:numPr>
          <w:ilvl w:val="1"/>
          <w:numId w:val="8"/>
        </w:numPr>
        <w:tabs>
          <w:tab w:val="clear" w:pos="720"/>
          <w:tab w:val="left" w:pos="1440" w:leader="none"/>
        </w:tabs>
        <w:ind w:hanging="360" w:start="1440" w:end="0"/>
        <w:jc w:val="both"/>
        <w:rPr>
          <w:rFonts w:ascii="Times New Roman" w:hAnsi="Times New Roman" w:cs="Times New Roman"/>
          <w:sz w:val="22"/>
          <w:szCs w:val="20"/>
        </w:rPr>
      </w:pPr>
      <w:r>
        <w:rPr>
          <w:rFonts w:cs="Times New Roman" w:ascii="Times New Roman" w:hAnsi="Times New Roman"/>
          <w:sz w:val="22"/>
          <w:szCs w:val="20"/>
        </w:rPr>
        <w:t>There is high probability based on problems encountered with Version 1.3 during the pilot of major problems with transactions.  Since non-choosing customers will be migrated to the affiliate REP in January, this coupled with the first concern above poses a significant risk.  This risk is most significant since the largest percentage of transferred customers is in the residential class.  CRs currently serving customers were asked if they anticipate problems when they start receiving 867’s.  {No problems are anticipated, however it was agreed that a contingency plan is needed}</w:t>
      </w:r>
    </w:p>
    <w:p>
      <w:pPr>
        <w:pStyle w:val="Normal"/>
        <w:numPr>
          <w:ilvl w:val="1"/>
          <w:numId w:val="8"/>
        </w:numPr>
        <w:tabs>
          <w:tab w:val="clear" w:pos="720"/>
          <w:tab w:val="left" w:pos="1440" w:leader="none"/>
        </w:tabs>
        <w:ind w:hanging="360" w:start="1440" w:end="0"/>
        <w:jc w:val="both"/>
        <w:rPr>
          <w:rFonts w:ascii="Times New Roman" w:hAnsi="Times New Roman" w:cs="Times New Roman"/>
          <w:sz w:val="22"/>
          <w:szCs w:val="20"/>
        </w:rPr>
      </w:pPr>
      <w:r>
        <w:rPr>
          <w:rFonts w:cs="Times New Roman" w:ascii="Times New Roman" w:hAnsi="Times New Roman"/>
          <w:sz w:val="22"/>
          <w:szCs w:val="20"/>
        </w:rPr>
        <w:t>There is no plan that clearly lays out risks/trade-offs if the migration doesn't work.  For example, if the cutover fails, would parties continue with Version 1.3?  If so, what are the ramifications for full market open on January 1, 2002, and on market participants who have not tested on Version 1.3?</w:t>
      </w:r>
    </w:p>
    <w:p>
      <w:pPr>
        <w:pStyle w:val="Normal"/>
        <w:numPr>
          <w:ilvl w:val="1"/>
          <w:numId w:val="8"/>
        </w:numPr>
        <w:tabs>
          <w:tab w:val="clear" w:pos="720"/>
          <w:tab w:val="left" w:pos="1440" w:leader="none"/>
        </w:tabs>
        <w:ind w:hanging="360" w:start="1440" w:end="0"/>
        <w:jc w:val="both"/>
        <w:rPr>
          <w:rFonts w:ascii="Times New Roman" w:hAnsi="Times New Roman" w:cs="Times New Roman"/>
          <w:sz w:val="22"/>
          <w:szCs w:val="20"/>
        </w:rPr>
      </w:pPr>
      <w:r>
        <w:rPr>
          <w:rFonts w:cs="Times New Roman" w:ascii="Times New Roman" w:hAnsi="Times New Roman"/>
          <w:sz w:val="22"/>
          <w:szCs w:val="20"/>
        </w:rPr>
        <w:t>Is market open (as defined by participants) tied absolutely to cutting over to Version 1.4? {Yes}</w:t>
      </w:r>
    </w:p>
    <w:p>
      <w:pPr>
        <w:pStyle w:val="Normal"/>
        <w:numPr>
          <w:ilvl w:val="1"/>
          <w:numId w:val="8"/>
        </w:numPr>
        <w:tabs>
          <w:tab w:val="clear" w:pos="720"/>
          <w:tab w:val="left" w:pos="1440" w:leader="none"/>
        </w:tabs>
        <w:ind w:hanging="360" w:start="1440" w:end="0"/>
        <w:jc w:val="both"/>
        <w:rPr>
          <w:rFonts w:ascii="Times New Roman" w:hAnsi="Times New Roman" w:cs="Times New Roman"/>
          <w:sz w:val="22"/>
          <w:szCs w:val="20"/>
        </w:rPr>
      </w:pPr>
      <w:r>
        <w:rPr>
          <w:rFonts w:cs="Times New Roman" w:ascii="Times New Roman" w:hAnsi="Times New Roman"/>
          <w:sz w:val="22"/>
          <w:szCs w:val="20"/>
        </w:rPr>
        <w:t xml:space="preserve">What happens if the market opens under Version 1.3?  {New CRs, TDSPs, and POLRs would not be able to participate}   </w:t>
      </w:r>
    </w:p>
    <w:p>
      <w:pPr>
        <w:pStyle w:val="Normal"/>
        <w:numPr>
          <w:ilvl w:val="0"/>
          <w:numId w:val="7"/>
        </w:numPr>
        <w:tabs>
          <w:tab w:val="clear" w:pos="720"/>
          <w:tab w:val="left" w:pos="1890" w:leader="none"/>
        </w:tabs>
        <w:ind w:hanging="360" w:start="1890" w:end="0"/>
        <w:jc w:val="both"/>
        <w:rPr>
          <w:rFonts w:ascii="Times New Roman" w:hAnsi="Times New Roman" w:cs="Times New Roman"/>
          <w:sz w:val="22"/>
          <w:szCs w:val="20"/>
        </w:rPr>
      </w:pPr>
      <w:r>
        <w:rPr>
          <w:rFonts w:cs="Times New Roman" w:ascii="Times New Roman" w:hAnsi="Times New Roman"/>
          <w:sz w:val="22"/>
          <w:szCs w:val="20"/>
        </w:rPr>
        <w:t xml:space="preserve">What functionality would be missing?  </w:t>
      </w:r>
    </w:p>
    <w:p>
      <w:pPr>
        <w:pStyle w:val="Normal"/>
        <w:numPr>
          <w:ilvl w:val="0"/>
          <w:numId w:val="7"/>
        </w:numPr>
        <w:tabs>
          <w:tab w:val="clear" w:pos="720"/>
          <w:tab w:val="left" w:pos="1890" w:leader="none"/>
        </w:tabs>
        <w:ind w:hanging="360" w:start="1890" w:end="0"/>
        <w:jc w:val="both"/>
        <w:rPr>
          <w:rFonts w:ascii="Times New Roman" w:hAnsi="Times New Roman" w:cs="Times New Roman"/>
          <w:sz w:val="22"/>
          <w:szCs w:val="20"/>
        </w:rPr>
      </w:pPr>
      <w:r>
        <w:rPr>
          <w:rFonts w:cs="Times New Roman" w:ascii="Times New Roman" w:hAnsi="Times New Roman"/>
          <w:sz w:val="22"/>
          <w:szCs w:val="20"/>
        </w:rPr>
        <w:t>Are there easy workarounds for this missing functionality?</w:t>
      </w:r>
    </w:p>
    <w:p>
      <w:pPr>
        <w:pStyle w:val="Normal"/>
        <w:numPr>
          <w:ilvl w:val="1"/>
          <w:numId w:val="7"/>
        </w:numPr>
        <w:tabs>
          <w:tab w:val="clear" w:pos="720"/>
          <w:tab w:val="left" w:pos="1440" w:leader="none"/>
        </w:tabs>
        <w:ind w:hanging="360" w:start="1440" w:end="0"/>
        <w:jc w:val="both"/>
        <w:rPr>
          <w:rFonts w:ascii="Times New Roman" w:hAnsi="Times New Roman" w:cs="Times New Roman"/>
          <w:color w:val="000000"/>
          <w:sz w:val="22"/>
        </w:rPr>
      </w:pPr>
      <w:r>
        <w:rPr>
          <w:rFonts w:cs="Times New Roman" w:ascii="Times New Roman" w:hAnsi="Times New Roman"/>
          <w:sz w:val="22"/>
          <w:szCs w:val="20"/>
        </w:rPr>
        <w:t>Is it a possibility that everyone cuts over to Version 1.4 on December 29</w:t>
      </w:r>
      <w:r>
        <w:rPr>
          <w:rFonts w:cs="Times New Roman" w:ascii="Times New Roman" w:hAnsi="Times New Roman"/>
          <w:sz w:val="22"/>
          <w:szCs w:val="20"/>
          <w:vertAlign w:val="superscript"/>
        </w:rPr>
        <w:t>th</w:t>
      </w:r>
      <w:r>
        <w:rPr>
          <w:rFonts w:cs="Times New Roman" w:ascii="Times New Roman" w:hAnsi="Times New Roman"/>
          <w:sz w:val="22"/>
          <w:szCs w:val="20"/>
        </w:rPr>
        <w:t>/30</w:t>
      </w:r>
      <w:r>
        <w:rPr>
          <w:rFonts w:cs="Times New Roman" w:ascii="Times New Roman" w:hAnsi="Times New Roman"/>
          <w:sz w:val="22"/>
          <w:szCs w:val="20"/>
          <w:vertAlign w:val="superscript"/>
        </w:rPr>
        <w:t>th</w:t>
      </w:r>
      <w:r>
        <w:rPr>
          <w:rFonts w:cs="Times New Roman" w:ascii="Times New Roman" w:hAnsi="Times New Roman"/>
          <w:sz w:val="22"/>
          <w:szCs w:val="20"/>
        </w:rPr>
        <w:t>, the pilot caps are lifted for all customer classes,</w:t>
      </w:r>
      <w:r>
        <w:rPr>
          <w:rFonts w:cs="Times New Roman" w:ascii="Times New Roman" w:hAnsi="Times New Roman"/>
          <w:sz w:val="22"/>
        </w:rPr>
        <w:t xml:space="preserve"> but residential customers are still left with bundled rates (not-PTB) and not transferred until February to the affiliate?  {N/A – applicable to Option C only} </w:t>
      </w:r>
    </w:p>
    <w:p>
      <w:pPr>
        <w:pStyle w:val="Normal"/>
        <w:numPr>
          <w:ilvl w:val="1"/>
          <w:numId w:val="7"/>
        </w:numPr>
        <w:tabs>
          <w:tab w:val="clear" w:pos="720"/>
          <w:tab w:val="left" w:pos="1440" w:leader="none"/>
        </w:tabs>
        <w:ind w:hanging="360" w:start="1440" w:end="0"/>
        <w:jc w:val="both"/>
        <w:rPr>
          <w:rFonts w:ascii="Times New Roman" w:hAnsi="Times New Roman" w:cs="Times New Roman"/>
          <w:color w:val="000000"/>
          <w:sz w:val="22"/>
        </w:rPr>
      </w:pPr>
      <w:r>
        <w:rPr>
          <w:rFonts w:cs="Times New Roman" w:ascii="Times New Roman" w:hAnsi="Times New Roman"/>
          <w:sz w:val="22"/>
          <w:szCs w:val="20"/>
        </w:rPr>
        <w:t>What are the risks and ramifications for each market participant and each customer class if frame 6 of testing has major problems that cannot be corrected for release in Version 1.4 by the timelines proposed?</w:t>
      </w:r>
      <w:r>
        <w:rPr>
          <w:rFonts w:cs="Times New Roman" w:ascii="Times New Roman" w:hAnsi="Times New Roman"/>
          <w:color w:val="000000"/>
          <w:sz w:val="22"/>
        </w:rPr>
        <w:t xml:space="preserve">  {Shirley Whyte had provided a spreadsheet providing information to explain what functionality is tested in Frame 6</w:t>
      </w:r>
      <w:r>
        <w:rPr>
          <w:rFonts w:cs="Times New Roman" w:ascii="Times New Roman" w:hAnsi="Times New Roman"/>
          <w:sz w:val="22"/>
          <w:szCs w:val="20"/>
        </w:rPr>
        <w:t>}  What is the last day that testing can be completed and not impact the current schedule?  {About December 6</w:t>
      </w:r>
      <w:r>
        <w:rPr>
          <w:rFonts w:cs="Times New Roman" w:ascii="Times New Roman" w:hAnsi="Times New Roman"/>
          <w:sz w:val="22"/>
          <w:szCs w:val="20"/>
          <w:vertAlign w:val="superscript"/>
        </w:rPr>
        <w:t>th</w:t>
      </w:r>
      <w:r>
        <w:rPr>
          <w:rFonts w:cs="Times New Roman" w:ascii="Times New Roman" w:hAnsi="Times New Roman"/>
          <w:sz w:val="22"/>
          <w:szCs w:val="20"/>
        </w:rPr>
        <w:t xml:space="preserve">}   </w:t>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ind w:start="720" w:end="0"/>
        <w:jc w:val="both"/>
        <w:rPr>
          <w:rFonts w:ascii="Times New Roman" w:hAnsi="Times New Roman" w:cs="Times New Roman"/>
          <w:sz w:val="22"/>
          <w:szCs w:val="20"/>
        </w:rPr>
      </w:pPr>
      <w:r>
        <w:rPr>
          <w:rFonts w:cs="Times New Roman" w:ascii="Times New Roman" w:hAnsi="Times New Roman"/>
          <w:b/>
          <w:bCs/>
          <w:color w:val="000000"/>
          <w:sz w:val="22"/>
        </w:rPr>
        <w:t>The RMS identified and discussed a list of Action Items.  A small working group was formed to address the Action Items. The working group will meet on November 1</w:t>
      </w:r>
      <w:r>
        <w:rPr>
          <w:rFonts w:cs="Times New Roman" w:ascii="Times New Roman" w:hAnsi="Times New Roman"/>
          <w:b/>
          <w:bCs/>
          <w:color w:val="000000"/>
          <w:sz w:val="22"/>
          <w:vertAlign w:val="superscript"/>
        </w:rPr>
        <w:t>st</w:t>
      </w:r>
      <w:r>
        <w:rPr>
          <w:rFonts w:cs="Times New Roman" w:ascii="Times New Roman" w:hAnsi="Times New Roman"/>
          <w:b/>
          <w:bCs/>
          <w:color w:val="000000"/>
          <w:sz w:val="22"/>
        </w:rPr>
        <w:t>.  All Action Items are due at the November 12</w:t>
      </w:r>
      <w:r>
        <w:rPr>
          <w:rFonts w:cs="Times New Roman" w:ascii="Times New Roman" w:hAnsi="Times New Roman"/>
          <w:b/>
          <w:bCs/>
          <w:color w:val="000000"/>
          <w:sz w:val="22"/>
          <w:vertAlign w:val="superscript"/>
        </w:rPr>
        <w:t>th</w:t>
      </w:r>
      <w:r>
        <w:rPr>
          <w:rFonts w:cs="Times New Roman" w:ascii="Times New Roman" w:hAnsi="Times New Roman"/>
          <w:b/>
          <w:bCs/>
          <w:color w:val="000000"/>
          <w:sz w:val="22"/>
        </w:rPr>
        <w:t xml:space="preserve"> RMS Meeting, or sooner.</w:t>
      </w:r>
      <w:r>
        <w:rPr>
          <w:rFonts w:cs="Times New Roman" w:ascii="Times New Roman" w:hAnsi="Times New Roman"/>
          <w:color w:val="000000"/>
          <w:sz w:val="22"/>
        </w:rPr>
        <w:t xml:space="preserve">  </w:t>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ind w:start="720" w:end="0"/>
        <w:jc w:val="both"/>
        <w:rPr/>
      </w:pPr>
      <w:r>
        <w:rPr>
          <w:rFonts w:cs="Times New Roman" w:ascii="Times New Roman" w:hAnsi="Times New Roman"/>
          <w:b/>
          <w:bCs/>
          <w:sz w:val="22"/>
          <w:szCs w:val="20"/>
        </w:rPr>
        <w:t xml:space="preserve">A motion was made by Walt Fenoglio and seconded by Joe Vickers to endorse Option D above for converting to Version 1.4.  </w:t>
      </w:r>
      <w:r>
        <w:rPr>
          <w:rFonts w:cs="Times New Roman" w:ascii="Times New Roman" w:hAnsi="Times New Roman"/>
          <w:b/>
          <w:bCs/>
          <w:color w:val="000000"/>
          <w:sz w:val="22"/>
        </w:rPr>
        <w:t xml:space="preserve">TXU will provide procedures for 867_02 workarounds and perform only essential meter change-outs during the last three weeks of December for Pilot Customers.  </w:t>
      </w:r>
      <w:r>
        <w:rPr>
          <w:rFonts w:cs="Times New Roman" w:ascii="Times New Roman" w:hAnsi="Times New Roman"/>
          <w:b/>
          <w:bCs/>
          <w:sz w:val="22"/>
          <w:szCs w:val="20"/>
        </w:rPr>
        <w:t>The motion was approved by a unanimous voice vote.</w:t>
      </w:r>
    </w:p>
    <w:p>
      <w:pPr>
        <w:pStyle w:val="Normal"/>
        <w:jc w:val="both"/>
        <w:rPr>
          <w:rFonts w:ascii="Times New Roman" w:hAnsi="Times New Roman" w:cs="Times New Roman"/>
          <w:b/>
          <w:bCs/>
          <w:sz w:val="22"/>
          <w:szCs w:val="20"/>
        </w:rPr>
      </w:pPr>
      <w:r>
        <w:rPr>
          <w:rFonts w:cs="Times New Roman" w:ascii="Times New Roman" w:hAnsi="Times New Roman"/>
          <w:b/>
          <w:bCs/>
          <w:sz w:val="22"/>
          <w:szCs w:val="20"/>
        </w:rPr>
      </w:r>
    </w:p>
    <w:p>
      <w:pPr>
        <w:pStyle w:val="Normal"/>
        <w:tabs>
          <w:tab w:val="left" w:pos="-720" w:leader="none"/>
          <w:tab w:val="left" w:pos="720" w:leader="none"/>
          <w:tab w:val="left" w:pos="4410" w:leader="none"/>
        </w:tabs>
        <w:suppressAutoHyphens w:val="true"/>
        <w:jc w:val="both"/>
        <w:rPr>
          <w:rFonts w:ascii="Times New Roman" w:hAnsi="Times New Roman" w:cs="Times New Roman"/>
          <w:sz w:val="22"/>
          <w:szCs w:val="20"/>
          <w:u w:val="single"/>
        </w:rPr>
      </w:pPr>
      <w:r>
        <w:rPr>
          <w:rFonts w:cs="Times New Roman" w:ascii="Times New Roman" w:hAnsi="Times New Roman"/>
          <w:sz w:val="22"/>
          <w:szCs w:val="20"/>
          <w:u w:val="single"/>
        </w:rPr>
      </w:r>
    </w:p>
    <w:p>
      <w:pPr>
        <w:pStyle w:val="Normal"/>
        <w:jc w:val="both"/>
        <w:rPr>
          <w:rFonts w:ascii="Times New Roman" w:hAnsi="Times New Roman" w:cs="Times New Roman"/>
          <w:sz w:val="22"/>
          <w:u w:val="single"/>
        </w:rPr>
      </w:pPr>
      <w:r>
        <w:rPr>
          <w:rFonts w:cs="Times New Roman" w:ascii="Times New Roman" w:hAnsi="Times New Roman"/>
          <w:sz w:val="22"/>
          <w:u w:val="single"/>
        </w:rPr>
        <w:t>Schedule Future RMS Meetings</w:t>
      </w:r>
    </w:p>
    <w:p>
      <w:pPr>
        <w:pStyle w:val="BodyTextIndent3"/>
        <w:ind w:hanging="0" w:start="0" w:end="0"/>
        <w:rPr>
          <w:rFonts w:ascii="Times New Roman" w:hAnsi="Times New Roman" w:cs="Times New Roman"/>
          <w:sz w:val="22"/>
          <w:u w:val="single"/>
        </w:rPr>
      </w:pPr>
      <w:r>
        <w:rPr>
          <w:rFonts w:cs="Times New Roman" w:ascii="Times New Roman" w:hAnsi="Times New Roman"/>
          <w:sz w:val="22"/>
          <w:u w:val="single"/>
        </w:rPr>
      </w:r>
    </w:p>
    <w:p>
      <w:pPr>
        <w:pStyle w:val="Normal"/>
        <w:ind w:start="720" w:end="0"/>
        <w:jc w:val="both"/>
        <w:rPr/>
      </w:pPr>
      <w:r>
        <w:rPr>
          <w:rFonts w:cs="Times New Roman" w:ascii="Times New Roman" w:hAnsi="Times New Roman"/>
          <w:b/>
          <w:bCs/>
          <w:sz w:val="22"/>
        </w:rPr>
        <w:t>The next RMS Meeting is scheduled for November 12, 2001 from 9:30 a.m. to 3:00 p.m. at the ERCOT Austin Offices.  Additional meetings are scheduled for November 28</w:t>
      </w:r>
      <w:r>
        <w:rPr>
          <w:rFonts w:cs="Times New Roman" w:ascii="Times New Roman" w:hAnsi="Times New Roman"/>
          <w:b/>
          <w:bCs/>
          <w:sz w:val="22"/>
          <w:vertAlign w:val="superscript"/>
        </w:rPr>
        <w:t>th</w:t>
      </w:r>
      <w:r>
        <w:rPr>
          <w:rFonts w:cs="Times New Roman" w:ascii="Times New Roman" w:hAnsi="Times New Roman"/>
          <w:b/>
          <w:bCs/>
          <w:sz w:val="22"/>
        </w:rPr>
        <w:t xml:space="preserve"> and December 11</w:t>
      </w:r>
      <w:r>
        <w:rPr>
          <w:rFonts w:cs="Times New Roman" w:ascii="Times New Roman" w:hAnsi="Times New Roman"/>
          <w:b/>
          <w:bCs/>
          <w:sz w:val="22"/>
          <w:vertAlign w:val="superscript"/>
        </w:rPr>
        <w:t>th</w:t>
      </w:r>
      <w:r>
        <w:rPr>
          <w:rFonts w:cs="Times New Roman" w:ascii="Times New Roman" w:hAnsi="Times New Roman"/>
          <w:b/>
          <w:bCs/>
          <w:sz w:val="22"/>
        </w:rPr>
        <w:t xml:space="preserve">.  </w:t>
      </w:r>
    </w:p>
    <w:p>
      <w:pPr>
        <w:pStyle w:val="BodyTextIndent3"/>
        <w:ind w:hanging="0" w:start="360" w:end="0"/>
        <w:rPr>
          <w:rFonts w:ascii="Times New Roman" w:hAnsi="Times New Roman" w:cs="Times New Roman"/>
          <w:b/>
          <w:bCs/>
          <w:sz w:val="22"/>
        </w:rPr>
      </w:pPr>
      <w:r>
        <w:rPr>
          <w:rFonts w:cs="Times New Roman" w:ascii="Times New Roman" w:hAnsi="Times New Roman"/>
          <w:b/>
          <w:bCs/>
          <w:sz w:val="22"/>
        </w:rPr>
      </w:r>
    </w:p>
    <w:p>
      <w:pPr>
        <w:pStyle w:val="Normal"/>
        <w:jc w:val="both"/>
        <w:rPr>
          <w:rFonts w:ascii="Times New Roman" w:hAnsi="Times New Roman" w:cs="Times New Roman"/>
          <w:b/>
          <w:spacing w:val="-3"/>
          <w:sz w:val="22"/>
        </w:rPr>
      </w:pPr>
      <w:r>
        <w:rPr>
          <w:rFonts w:cs="Times New Roman" w:ascii="Times New Roman" w:hAnsi="Times New Roman"/>
          <w:b/>
          <w:spacing w:val="-3"/>
          <w:sz w:val="22"/>
        </w:rPr>
      </w:r>
    </w:p>
    <w:p>
      <w:pPr>
        <w:pStyle w:val="Normal"/>
        <w:numPr>
          <w:ilvl w:val="0"/>
          <w:numId w:val="0"/>
        </w:numPr>
        <w:tabs>
          <w:tab w:val="clear" w:pos="720"/>
          <w:tab w:val="left" w:pos="-720" w:leader="none"/>
        </w:tabs>
        <w:suppressAutoHyphens w:val="true"/>
        <w:jc w:val="both"/>
        <w:outlineLvl w:val="0"/>
        <w:rPr>
          <w:rFonts w:ascii="Times New Roman" w:hAnsi="Times New Roman" w:cs="Times New Roman"/>
          <w:spacing w:val="-3"/>
          <w:sz w:val="22"/>
        </w:rPr>
      </w:pPr>
      <w:r>
        <w:rPr>
          <w:rFonts w:cs="Times New Roman" w:ascii="Times New Roman" w:hAnsi="Times New Roman"/>
          <w:spacing w:val="-3"/>
          <w:sz w:val="22"/>
        </w:rPr>
        <w:t>There being no further business, the RMS Meeting was adjourned by Nancy Hetrick at 2:05 p.m. on October 31, 2001.</w:t>
      </w:r>
    </w:p>
    <w:p>
      <w:pPr>
        <w:pStyle w:val="Normal"/>
        <w:tabs>
          <w:tab w:val="left" w:pos="720" w:leader="none"/>
        </w:tabs>
        <w:ind w:start="720" w:end="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ind w:start="-180" w:end="0"/>
      <w:jc w:val="end"/>
      <w:rPr>
        <w:rFonts w:ascii="Times New Roman" w:hAnsi="Times New Roman" w:cs="Times New Roman"/>
        <w:b/>
        <w:bCs/>
        <w:spacing w:val="-3"/>
        <w:sz w:val="22"/>
        <w:u w:val="single"/>
      </w:rPr>
    </w:pPr>
    <w:r>
      <w:rPr>
        <w:rFonts w:cs="Times New Roman" w:ascii="Times New Roman" w:hAnsi="Times New Roman"/>
        <w:b/>
        <w:bCs/>
        <w:spacing w:val="-3"/>
        <w:sz w:val="22"/>
        <w:u w:val="single"/>
      </w:rPr>
      <w:t>APPROVED – 11/12/01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360"/>
      </w:pPr>
    </w:lvl>
  </w:abstractNum>
  <w:abstractNum w:abstractNumId="3">
    <w:lvl w:ilvl="0">
      <w:start w:val="1"/>
      <w:numFmt w:val="bullet"/>
      <w:lvlText w:val=""/>
      <w:lvlJc w:val="start"/>
      <w:pPr>
        <w:tabs>
          <w:tab w:val="num" w:pos="1560"/>
        </w:tabs>
        <w:ind w:start="156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lvl w:ilvl="1">
      <w:start w:val="6"/>
      <w:numFmt w:val="decimal"/>
      <w:lvlText w:val="%2."/>
      <w:lvlJc w:val="start"/>
      <w:pPr>
        <w:tabs>
          <w:tab w:val="num" w:pos="2160"/>
        </w:tabs>
        <w:ind w:start="2160" w:hanging="360"/>
      </w:pPr>
      <w:rPr/>
    </w:lvl>
    <w:lvl w:ilvl="2">
      <w:start w:val="1"/>
      <w:numFmt w:val="bullet"/>
      <w:lvlText w:val=""/>
      <w:lvlJc w:val="start"/>
      <w:pPr>
        <w:tabs>
          <w:tab w:val="num" w:pos="2880"/>
        </w:tabs>
        <w:ind w:start="2880" w:hanging="360"/>
      </w:pPr>
      <w:rPr>
        <w:rFonts w:ascii="Symbol" w:hAnsi="Symbol" w:cs="Symbol"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8">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2160"/>
        </w:tabs>
        <w:ind w:start="2160" w:hanging="360"/>
      </w:pPr>
    </w:lvl>
    <w:lvl w:ilvl="2">
      <w:start w:val="1"/>
      <w:numFmt w:val="bullet"/>
      <w:lvlText w:val=""/>
      <w:lvlJc w:val="start"/>
      <w:pPr>
        <w:tabs>
          <w:tab w:val="num" w:pos="2880"/>
        </w:tabs>
        <w:ind w:start="2880" w:hanging="360"/>
      </w:pPr>
      <w:rPr>
        <w:rFonts w:ascii="Symbol" w:hAnsi="Symbol" w:cs="Symbol"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9">
    <w:lvl w:ilvl="0">
      <w:start w:val="1"/>
      <w:numFmt w:val="bullet"/>
      <w:lvlText w:val=""/>
      <w:lvlJc w:val="start"/>
      <w:pPr>
        <w:tabs>
          <w:tab w:val="num" w:pos="72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Courier New" w:hAnsi="Courier New" w:eastAsia="Times New Roman" w:cs="Courier New"/>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s>
      <w:suppressAutoHyphens w:val="true"/>
      <w:ind w:hanging="720" w:start="720" w:end="0"/>
      <w:jc w:val="both"/>
      <w:outlineLvl w:val="0"/>
    </w:pPr>
    <w:rPr>
      <w:spacing w:val="-3"/>
      <w:sz w:val="22"/>
      <w:szCs w:val="22"/>
      <w:u w:val="single"/>
    </w:rPr>
  </w:style>
  <w:style w:type="paragraph" w:styleId="Heading2">
    <w:name w:val="heading 2"/>
    <w:basedOn w:val="Normal"/>
    <w:next w:val="Normal"/>
    <w:qFormat/>
    <w:pPr>
      <w:keepNext w:val="true"/>
      <w:numPr>
        <w:ilvl w:val="1"/>
        <w:numId w:val="1"/>
      </w:numPr>
      <w:tabs>
        <w:tab w:val="clear" w:pos="720"/>
        <w:tab w:val="left" w:pos="-720" w:leader="none"/>
        <w:tab w:val="left" w:pos="0" w:leader="none"/>
      </w:tabs>
      <w:suppressAutoHyphens w:val="true"/>
      <w:jc w:val="both"/>
      <w:outlineLvl w:val="1"/>
    </w:pPr>
    <w:rPr>
      <w:rFonts w:cs="Courier New"/>
      <w:spacing w:val="-3"/>
      <w:sz w:val="22"/>
      <w:szCs w:val="22"/>
      <w:u w:val="single"/>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ind w:hanging="0" w:start="720" w:end="0"/>
      <w:jc w:val="both"/>
      <w:outlineLvl w:val="2"/>
    </w:pPr>
    <w:rPr>
      <w:rFonts w:cs="Courier New"/>
      <w:spacing w:val="-3"/>
      <w:sz w:val="22"/>
      <w:szCs w:val="22"/>
      <w:u w:val="single"/>
    </w:rPr>
  </w:style>
  <w:style w:type="paragraph" w:styleId="Heading4">
    <w:name w:val="heading 4"/>
    <w:basedOn w:val="Normal"/>
    <w:next w:val="Normal"/>
    <w:qFormat/>
    <w:pPr>
      <w:keepNext w:val="true"/>
      <w:numPr>
        <w:ilvl w:val="3"/>
        <w:numId w:val="1"/>
      </w:numPr>
      <w:tabs>
        <w:tab w:val="clear" w:pos="720"/>
        <w:tab w:val="center" w:pos="4680" w:leader="none"/>
      </w:tabs>
      <w:suppressAutoHyphens w:val="true"/>
      <w:jc w:val="center"/>
      <w:outlineLvl w:val="3"/>
    </w:pPr>
    <w:rPr>
      <w:rFonts w:cs="Courier New"/>
      <w:b/>
      <w:bCs/>
      <w:spacing w:val="-3"/>
      <w:sz w:val="22"/>
      <w:szCs w:val="22"/>
      <w:u w:val="single"/>
    </w:rPr>
  </w:style>
  <w:style w:type="paragraph" w:styleId="Heading5">
    <w:name w:val="heading 5"/>
    <w:basedOn w:val="Normal"/>
    <w:next w:val="Normal"/>
    <w:qFormat/>
    <w:pPr>
      <w:keepNext w:val="true"/>
      <w:numPr>
        <w:ilvl w:val="4"/>
        <w:numId w:val="1"/>
      </w:numPr>
      <w:outlineLvl w:val="4"/>
    </w:pPr>
    <w:rPr>
      <w:rFonts w:cs="Courier New"/>
      <w:u w:val="single"/>
    </w:rPr>
  </w:style>
  <w:style w:type="paragraph" w:styleId="Heading6">
    <w:name w:val="heading 6"/>
    <w:basedOn w:val="Normal"/>
    <w:next w:val="Normal"/>
    <w:qFormat/>
    <w:pPr>
      <w:keepNext w:val="true"/>
      <w:numPr>
        <w:ilvl w:val="5"/>
        <w:numId w:val="1"/>
      </w:numPr>
      <w:tabs>
        <w:tab w:val="clear" w:pos="720"/>
        <w:tab w:val="left" w:pos="-720" w:leader="none"/>
      </w:tabs>
      <w:suppressAutoHyphens w:val="true"/>
      <w:jc w:val="both"/>
      <w:outlineLvl w:val="5"/>
    </w:pPr>
    <w:rPr>
      <w:rFonts w:cs="Courier New"/>
      <w:u w:val="single"/>
    </w:rPr>
  </w:style>
  <w:style w:type="paragraph" w:styleId="Heading7">
    <w:name w:val="heading 7"/>
    <w:basedOn w:val="Normal"/>
    <w:next w:val="Normal"/>
    <w:qFormat/>
    <w:pPr>
      <w:keepNext w:val="true"/>
      <w:numPr>
        <w:ilvl w:val="6"/>
        <w:numId w:val="1"/>
      </w:numPr>
      <w:outlineLvl w:val="6"/>
    </w:pPr>
    <w:rPr>
      <w:rFonts w:cs="Courier New"/>
      <w:sz w:val="22"/>
      <w:szCs w:val="22"/>
      <w:u w:val="single"/>
    </w:rPr>
  </w:style>
  <w:style w:type="paragraph" w:styleId="Heading8">
    <w:name w:val="heading 8"/>
    <w:basedOn w:val="Normal"/>
    <w:next w:val="Normal"/>
    <w:qFormat/>
    <w:pPr>
      <w:keepNext w:val="true"/>
      <w:numPr>
        <w:ilvl w:val="7"/>
        <w:numId w:val="1"/>
      </w:numPr>
      <w:tabs>
        <w:tab w:val="clear" w:pos="720"/>
        <w:tab w:val="left" w:pos="-720" w:leader="none"/>
        <w:tab w:val="left" w:pos="0" w:leader="none"/>
      </w:tabs>
      <w:suppressAutoHyphens w:val="true"/>
      <w:jc w:val="both"/>
      <w:outlineLvl w:val="7"/>
    </w:pPr>
    <w:rPr>
      <w:rFonts w:cs="Courier New"/>
      <w:b/>
      <w:bCs/>
      <w:spacing w:val="-3"/>
      <w:sz w:val="22"/>
      <w:szCs w:val="22"/>
    </w:rPr>
  </w:style>
  <w:style w:type="paragraph" w:styleId="Heading9">
    <w:name w:val="heading 9"/>
    <w:basedOn w:val="Normal"/>
    <w:next w:val="Normal"/>
    <w:qFormat/>
    <w:pPr>
      <w:keepNext w:val="true"/>
      <w:numPr>
        <w:ilvl w:val="0"/>
        <w:numId w:val="2"/>
      </w:numPr>
      <w:tabs>
        <w:tab w:val="clear" w:pos="720"/>
        <w:tab w:val="left" w:pos="-720" w:leader="none"/>
        <w:tab w:val="left" w:pos="0" w:leader="none"/>
      </w:tabs>
      <w:suppressAutoHyphens w:val="true"/>
      <w:jc w:val="end"/>
      <w:outlineLvl w:val="8"/>
    </w:pPr>
    <w:rPr>
      <w:rFonts w:cs="Courier New"/>
      <w:b/>
      <w:bCs/>
      <w:spacing w:val="-3"/>
      <w:sz w:val="22"/>
      <w:szCs w:val="22"/>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rFonts w:ascii="Symbol" w:hAnsi="Symbol" w:cs="Symbol"/>
    </w:rPr>
  </w:style>
  <w:style w:type="character" w:styleId="WW8Num6z0">
    <w:name w:val="WW8Num6z0"/>
    <w:qFormat/>
    <w:rPr>
      <w:rFonts w:ascii="Symbol" w:hAnsi="Symbol" w:cs="Times New Roman"/>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3z0">
    <w:name w:val="WW8Num13z0"/>
    <w:qFormat/>
    <w:rPr>
      <w:rFonts w:ascii="Symbol" w:hAnsi="Symbol" w:cs="Times New Roman"/>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Times New Roman"/>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4">
    <w:name w:val="WW8Num22z4"/>
    <w:qFormat/>
    <w:rPr>
      <w:rFonts w:ascii="Courier New" w:hAnsi="Courier New" w:cs="Courier New"/>
    </w:rPr>
  </w:style>
  <w:style w:type="character" w:styleId="WW8Num22z5">
    <w:name w:val="WW8Num22z5"/>
    <w:qFormat/>
    <w:rPr>
      <w:rFonts w:ascii="Wingdings" w:hAnsi="Wingdings" w:cs="Wingdings"/>
    </w:rPr>
  </w:style>
  <w:style w:type="character" w:styleId="WW8Num23z0">
    <w:name w:val="WW8Num23z0"/>
    <w:qFormat/>
    <w:rPr>
      <w:rFonts w:ascii="Symbol" w:hAnsi="Symbol" w:cs="Symbol"/>
    </w:rPr>
  </w:style>
  <w:style w:type="character" w:styleId="WW8Num23z2">
    <w:name w:val="WW8Num23z2"/>
    <w:qFormat/>
    <w:rPr>
      <w:rFonts w:ascii="Wingdings" w:hAnsi="Wingdings" w:cs="Wingdings"/>
    </w:rPr>
  </w:style>
  <w:style w:type="character" w:styleId="WW8Num23z4">
    <w:name w:val="WW8Num23z4"/>
    <w:qFormat/>
    <w:rPr>
      <w:rFonts w:ascii="Courier New" w:hAnsi="Courier New" w:cs="Courier New"/>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2">
    <w:name w:val="WW8Num28z2"/>
    <w:qFormat/>
    <w:rPr>
      <w:rFonts w:ascii="Wingdings" w:hAnsi="Wingdings" w:cs="Wingdings"/>
    </w:rPr>
  </w:style>
  <w:style w:type="character" w:styleId="WW8Num28z4">
    <w:name w:val="WW8Num28z4"/>
    <w:qFormat/>
    <w:rPr>
      <w:rFonts w:ascii="Courier New" w:hAnsi="Courier New" w:cs="Courier New"/>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Symbol" w:hAnsi="Symbol" w:cs="Times New Roman"/>
    </w:rPr>
  </w:style>
  <w:style w:type="character" w:styleId="WW8Num33z0">
    <w:name w:val="WW8Num33z0"/>
    <w:qFormat/>
    <w:rPr>
      <w:rFonts w:ascii="Wingdings" w:hAnsi="Wingdings" w:cs="Wingdings"/>
      <w:sz w:val="20"/>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4z0">
    <w:name w:val="WW8Num44z0"/>
    <w:qFormat/>
    <w:rPr>
      <w:rFonts w:ascii="Symbol" w:hAnsi="Symbol" w:cs="Symbol"/>
      <w:color w:val="000000"/>
    </w:rPr>
  </w:style>
  <w:style w:type="character" w:styleId="WW8Num45z0">
    <w:name w:val="WW8Num45z0"/>
    <w:qFormat/>
    <w:rPr>
      <w:rFonts w:ascii="Wingdings" w:hAnsi="Wingdings" w:cs="Wingdings"/>
      <w:sz w:val="16"/>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Times New Roman"/>
    </w:rPr>
  </w:style>
  <w:style w:type="character" w:styleId="WW8Num55z1">
    <w:name w:val="WW8Num55z1"/>
    <w:qFormat/>
    <w:rPr>
      <w:rFonts w:ascii="Courier New" w:hAnsi="Courier New" w:cs="Courier New"/>
    </w:rPr>
  </w:style>
  <w:style w:type="character" w:styleId="WW8Num55z2">
    <w:name w:val="WW8Num55z2"/>
    <w:qFormat/>
    <w:rPr>
      <w:rFonts w:ascii="Wingdings" w:hAnsi="Wingdings" w:cs="Times New Roman"/>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1z0">
    <w:name w:val="WW8Num61z0"/>
    <w:qFormat/>
    <w:rPr>
      <w:rFonts w:ascii="Symbol" w:hAnsi="Symbol" w:cs="Times New Roman"/>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5z0">
    <w:name w:val="WW8Num65z0"/>
    <w:qFormat/>
    <w:rPr>
      <w:rFonts w:ascii="Symbol" w:hAnsi="Symbol" w:cs="Times New Roman"/>
    </w:rPr>
  </w:style>
  <w:style w:type="character" w:styleId="WW8Num65z1">
    <w:name w:val="WW8Num65z1"/>
    <w:qFormat/>
    <w:rPr>
      <w:rFonts w:ascii="Courier New" w:hAnsi="Courier New" w:cs="Courier New"/>
    </w:rPr>
  </w:style>
  <w:style w:type="character" w:styleId="WW8Num65z2">
    <w:name w:val="WW8Num65z2"/>
    <w:qFormat/>
    <w:rPr>
      <w:rFonts w:ascii="Wingdings" w:hAnsi="Wingdings" w:cs="Times New Roman"/>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70z0">
    <w:name w:val="WW8Num70z0"/>
    <w:qFormat/>
    <w:rPr>
      <w:rFonts w:ascii="Wingdings" w:hAnsi="Wingdings" w:cs="Wingdings"/>
      <w:sz w:val="16"/>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5">
    <w:name w:val="WW8Num71z5"/>
    <w:qFormat/>
    <w:rPr>
      <w:rFonts w:ascii="Wingdings" w:hAnsi="Wingdings" w:cs="Wingdings"/>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Symbol" w:hAnsi="Symbol" w:cs="Times New Roman"/>
    </w:rPr>
  </w:style>
  <w:style w:type="character" w:styleId="WW8Num78z0">
    <w:name w:val="WW8Num78z0"/>
    <w:qFormat/>
    <w:rPr>
      <w:rFonts w:ascii="Symbol" w:hAnsi="Symbol" w:cs="Times New Roman"/>
    </w:rPr>
  </w:style>
  <w:style w:type="character" w:styleId="WW8Num80z1">
    <w:name w:val="WW8Num80z1"/>
    <w:qFormat/>
    <w:rPr>
      <w:rFonts w:ascii="Symbol" w:hAnsi="Symbol" w:cs="Symbol"/>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Symbol" w:hAnsi="Symbol" w:cs="Symbol"/>
      <w:color w:val="000000"/>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5z0">
    <w:name w:val="WW8Num85z0"/>
    <w:qFormat/>
    <w:rPr>
      <w:rFonts w:ascii="Symbol" w:hAnsi="Symbol" w:cs="Times New Roman"/>
    </w:rPr>
  </w:style>
  <w:style w:type="character" w:styleId="WW8Num85z1">
    <w:name w:val="WW8Num85z1"/>
    <w:qFormat/>
    <w:rPr>
      <w:rFonts w:ascii="Courier New" w:hAnsi="Courier New" w:cs="Courier New"/>
    </w:rPr>
  </w:style>
  <w:style w:type="character" w:styleId="WW8Num85z2">
    <w:name w:val="WW8Num85z2"/>
    <w:qFormat/>
    <w:rPr>
      <w:rFonts w:ascii="Wingdings" w:hAnsi="Wingdings" w:cs="Times New Roman"/>
    </w:rPr>
  </w:style>
  <w:style w:type="character" w:styleId="WW8Num86z0">
    <w:name w:val="WW8Num86z0"/>
    <w:qFormat/>
    <w:rPr>
      <w:rFonts w:ascii="Symbol" w:hAnsi="Symbol" w:cs="Symbol"/>
      <w:color w:val="000000"/>
    </w:rPr>
  </w:style>
  <w:style w:type="character" w:styleId="WW8Num87z0">
    <w:name w:val="WW8Num87z0"/>
    <w:qFormat/>
    <w:rPr>
      <w:rFonts w:ascii="Symbol" w:hAnsi="Symbol" w:cs="Times New Roman"/>
    </w:rPr>
  </w:style>
  <w:style w:type="character" w:styleId="WW8Num88z0">
    <w:name w:val="WW8Num88z0"/>
    <w:qFormat/>
    <w:rPr>
      <w:rFonts w:ascii="Symbol" w:hAnsi="Symbol" w:cs="Times New Roman"/>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color w:val="000000"/>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Symbol" w:hAnsi="Symbol" w:cs="Symbol"/>
      <w:color w:val="000000"/>
    </w:rPr>
  </w:style>
  <w:style w:type="character" w:styleId="WW8Num93z0">
    <w:name w:val="WW8Num93z0"/>
    <w:qFormat/>
    <w:rPr>
      <w:rFonts w:ascii="Symbol" w:hAnsi="Symbol" w:cs="Symbol"/>
      <w:color w:val="000000"/>
    </w:rPr>
  </w:style>
  <w:style w:type="character" w:styleId="WW8Num94z0">
    <w:name w:val="WW8Num94z0"/>
    <w:qFormat/>
    <w:rPr>
      <w:rFonts w:ascii="Symbol" w:hAnsi="Symbol" w:cs="Symbol"/>
      <w:sz w:val="20"/>
    </w:rPr>
  </w:style>
  <w:style w:type="character" w:styleId="WW8Num94z1">
    <w:name w:val="WW8Num94z1"/>
    <w:qFormat/>
    <w:rPr>
      <w:rFonts w:ascii="Courier New" w:hAnsi="Courier New" w:cs="Courier New"/>
      <w:sz w:val="20"/>
    </w:rPr>
  </w:style>
  <w:style w:type="character" w:styleId="WW8Num94z2">
    <w:name w:val="WW8Num94z2"/>
    <w:qFormat/>
    <w:rPr>
      <w:rFonts w:ascii="Wingdings" w:hAnsi="Wingdings" w:cs="Wingdings"/>
      <w:sz w:val="20"/>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Times New Roman"/>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Times New Roman"/>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Times New Roman"/>
    </w:rPr>
  </w:style>
  <w:style w:type="character" w:styleId="WW8Num106z0">
    <w:name w:val="WW8Num106z0"/>
    <w:qFormat/>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color w:val="auto"/>
    </w:rPr>
  </w:style>
  <w:style w:type="character" w:styleId="WW8Num109z0">
    <w:name w:val="WW8Num109z0"/>
    <w:qFormat/>
    <w:rPr>
      <w:rFonts w:ascii="Wingdings" w:hAnsi="Wingdings" w:cs="Wingdings"/>
    </w:rPr>
  </w:style>
  <w:style w:type="character" w:styleId="WW8Num111z0">
    <w:name w:val="WW8Num111z0"/>
    <w:qFormat/>
    <w:rPr>
      <w:rFonts w:ascii="Symbol" w:hAnsi="Symbol" w:cs="Symbol"/>
    </w:rPr>
  </w:style>
  <w:style w:type="character" w:styleId="WW8Num111z1">
    <w:name w:val="WW8Num111z1"/>
    <w:qFormat/>
    <w:rPr>
      <w:rFonts w:ascii="Wingdings" w:hAnsi="Wingdings" w:cs="Wingdings"/>
    </w:rPr>
  </w:style>
  <w:style w:type="character" w:styleId="WW8Num111z4">
    <w:name w:val="WW8Num111z4"/>
    <w:qFormat/>
    <w:rPr>
      <w:rFonts w:ascii="Courier New" w:hAnsi="Courier New" w:cs="Courier New"/>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4z0">
    <w:name w:val="WW8Num114z0"/>
    <w:qFormat/>
    <w:rPr>
      <w:rFonts w:ascii="Courier New" w:hAnsi="Courier New" w:cs="Courier New"/>
    </w:rPr>
  </w:style>
  <w:style w:type="character" w:styleId="WW8Num114z1">
    <w:name w:val="WW8Num114z1"/>
    <w:qFormat/>
    <w:rPr>
      <w:rFonts w:ascii="Symbol" w:hAnsi="Symbol" w:cs="Symbol"/>
    </w:rPr>
  </w:style>
  <w:style w:type="character" w:styleId="WW8Num114z2">
    <w:name w:val="WW8Num114z2"/>
    <w:qFormat/>
    <w:rPr>
      <w:rFonts w:ascii="Wingdings" w:hAnsi="Wingdings" w:cs="Wingdings"/>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8z0">
    <w:name w:val="WW8Num118z0"/>
    <w:qFormat/>
    <w:rPr>
      <w:rFonts w:ascii="Symbol" w:hAnsi="Symbol" w:cs="Symbol"/>
      <w:color w:val="000000"/>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rFonts w:ascii="Wingdings" w:hAnsi="Wingdings" w:cs="Wingdings"/>
      <w:sz w:val="16"/>
    </w:rPr>
  </w:style>
  <w:style w:type="character" w:styleId="WW8Num123z0">
    <w:name w:val="WW8Num123z0"/>
    <w:qFormat/>
    <w:rPr/>
  </w:style>
  <w:style w:type="character" w:styleId="WW8Num124z0">
    <w:name w:val="WW8Num124z0"/>
    <w:qFormat/>
    <w:rPr/>
  </w:style>
  <w:style w:type="character" w:styleId="WW8Num126z0">
    <w:name w:val="WW8Num126z0"/>
    <w:qFormat/>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5z0">
    <w:name w:val="WW8Num135z0"/>
    <w:qFormat/>
    <w:rPr>
      <w:rFonts w:ascii="Symbol" w:hAnsi="Symbol" w:cs="Times New Roman"/>
    </w:rPr>
  </w:style>
  <w:style w:type="character" w:styleId="WW8Num136z0">
    <w:name w:val="WW8Num136z0"/>
    <w:qFormat/>
    <w:rPr>
      <w:rFonts w:ascii="Symbol" w:hAnsi="Symbol" w:cs="Symbol"/>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rPr>
  </w:style>
  <w:style w:type="character" w:styleId="WW8Num138z1">
    <w:name w:val="WW8Num138z1"/>
    <w:qFormat/>
    <w:rPr/>
  </w:style>
  <w:style w:type="character" w:styleId="WW8Num138z4">
    <w:name w:val="WW8Num138z4"/>
    <w:qFormat/>
    <w:rPr>
      <w:rFonts w:ascii="Courier New" w:hAnsi="Courier New" w:cs="Courier New"/>
    </w:rPr>
  </w:style>
  <w:style w:type="character" w:styleId="WW8Num138z5">
    <w:name w:val="WW8Num138z5"/>
    <w:qFormat/>
    <w:rPr>
      <w:rFonts w:ascii="Wingdings" w:hAnsi="Wingdings" w:cs="Wingdings"/>
    </w:rPr>
  </w:style>
  <w:style w:type="character" w:styleId="WW8Num139z0">
    <w:name w:val="WW8Num139z0"/>
    <w:qFormat/>
    <w:rPr>
      <w:rFonts w:ascii="Wingdings" w:hAnsi="Wingdings" w:cs="Wingdings"/>
    </w:rPr>
  </w:style>
  <w:style w:type="character" w:styleId="WW8Num139z1">
    <w:name w:val="WW8Num139z1"/>
    <w:qFormat/>
    <w:rPr>
      <w:rFonts w:ascii="Courier New" w:hAnsi="Courier New" w:cs="Courier New"/>
    </w:rPr>
  </w:style>
  <w:style w:type="character" w:styleId="WW8Num139z3">
    <w:name w:val="WW8Num139z3"/>
    <w:qFormat/>
    <w:rPr>
      <w:rFonts w:ascii="Symbol" w:hAnsi="Symbol" w:cs="Symbol"/>
    </w:rPr>
  </w:style>
  <w:style w:type="character" w:styleId="WW8Num141z0">
    <w:name w:val="WW8Num141z0"/>
    <w:qFormat/>
    <w:rPr>
      <w:rFonts w:ascii="Wingdings" w:hAnsi="Wingdings" w:cs="Wingdings"/>
      <w:sz w:val="16"/>
    </w:rPr>
  </w:style>
  <w:style w:type="character" w:styleId="WW8Num142z0">
    <w:name w:val="WW8Num142z0"/>
    <w:qFormat/>
    <w:rPr>
      <w:rFonts w:ascii="Symbol" w:hAnsi="Symbol" w:cs="Symbol"/>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5z0">
    <w:name w:val="WW8Num145z0"/>
    <w:qFormat/>
    <w:rPr>
      <w:rFonts w:ascii="Symbol" w:hAnsi="Symbol" w:cs="Symbol"/>
      <w:color w:val="000000"/>
    </w:rPr>
  </w:style>
  <w:style w:type="character" w:styleId="WW8Num146z0">
    <w:name w:val="WW8Num146z0"/>
    <w:qFormat/>
    <w:rPr>
      <w:rFonts w:ascii="Symbol" w:hAnsi="Symbol" w:cs="Symbol"/>
    </w:rPr>
  </w:style>
  <w:style w:type="character" w:styleId="WW8Num146z4">
    <w:name w:val="WW8Num146z4"/>
    <w:qFormat/>
    <w:rPr>
      <w:rFonts w:ascii="Courier New" w:hAnsi="Courier New" w:cs="Courier New"/>
    </w:rPr>
  </w:style>
  <w:style w:type="character" w:styleId="WW8Num146z5">
    <w:name w:val="WW8Num146z5"/>
    <w:qFormat/>
    <w:rPr>
      <w:rFonts w:ascii="Wingdings" w:hAnsi="Wingdings" w:cs="Wingdings"/>
    </w:rPr>
  </w:style>
  <w:style w:type="character" w:styleId="WW8Num147z0">
    <w:name w:val="WW8Num147z0"/>
    <w:qFormat/>
    <w:rPr>
      <w:rFonts w:ascii="Symbol" w:hAnsi="Symbol" w:cs="Symbol"/>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8z0">
    <w:name w:val="WW8Num148z0"/>
    <w:qFormat/>
    <w:rPr>
      <w:rFonts w:ascii="Symbol" w:hAnsi="Symbol" w:cs="Symbol"/>
    </w:rPr>
  </w:style>
  <w:style w:type="character" w:styleId="WW8Num149z0">
    <w:name w:val="WW8Num149z0"/>
    <w:qFormat/>
    <w:rPr>
      <w:rFonts w:ascii="Symbol" w:hAnsi="Symbol" w:cs="Times New Roman"/>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Times New Roman"/>
    </w:rPr>
  </w:style>
  <w:style w:type="character" w:styleId="WW8Num150z0">
    <w:name w:val="WW8Num150z0"/>
    <w:qFormat/>
    <w:rPr>
      <w:rFonts w:ascii="Symbol" w:hAnsi="Symbol" w:cs="Symbol"/>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4z0">
    <w:name w:val="WW8Num154z0"/>
    <w:qFormat/>
    <w:rPr>
      <w:rFonts w:ascii="Symbol" w:hAnsi="Symbol" w:cs="Symbol"/>
      <w:color w:val="000000"/>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3z0">
    <w:name w:val="WW8Num163z0"/>
    <w:qFormat/>
    <w:rPr>
      <w:rFonts w:ascii="Symbol" w:hAnsi="Symbol" w:cs="Times New Roman"/>
    </w:rPr>
  </w:style>
  <w:style w:type="character" w:styleId="WW8Num164z0">
    <w:name w:val="WW8Num164z0"/>
    <w:qFormat/>
    <w:rPr>
      <w:rFonts w:ascii="Symbol" w:hAnsi="Symbol" w:cs="Symbol"/>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5z0">
    <w:name w:val="WW8Num165z0"/>
    <w:qFormat/>
    <w:rPr>
      <w:rFonts w:ascii="Symbol" w:hAnsi="Symbol" w:cs="Symbol"/>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6z0">
    <w:name w:val="WW8Num166z0"/>
    <w:qFormat/>
    <w:rPr>
      <w:rFonts w:ascii="Symbol" w:hAnsi="Symbol" w:cs="Symbol"/>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7z0">
    <w:name w:val="WW8Num167z0"/>
    <w:qFormat/>
    <w:rPr>
      <w:rFonts w:ascii="Symbol" w:hAnsi="Symbol" w:cs="Times New Roman"/>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Times New Roman"/>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4z0">
    <w:name w:val="WW8Num174z0"/>
    <w:qFormat/>
    <w:rPr>
      <w:rFonts w:ascii="Symbol" w:hAnsi="Symbol" w:cs="Symbol"/>
    </w:rPr>
  </w:style>
  <w:style w:type="character" w:styleId="WW8Num175z0">
    <w:name w:val="WW8Num175z0"/>
    <w:qFormat/>
    <w:rPr>
      <w:rFonts w:ascii="Symbol" w:hAnsi="Symbol" w:cs="Times New Roman"/>
    </w:rPr>
  </w:style>
  <w:style w:type="character" w:styleId="WW8Num176z0">
    <w:name w:val="WW8Num176z0"/>
    <w:qFormat/>
    <w:rPr>
      <w:rFonts w:ascii="Symbol" w:hAnsi="Symbol" w:cs="Times New Roman"/>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Times New Roman"/>
    </w:rPr>
  </w:style>
  <w:style w:type="character" w:styleId="WW8Num177z0">
    <w:name w:val="WW8Num177z0"/>
    <w:qFormat/>
    <w:rPr>
      <w:rFonts w:ascii="Symbol" w:hAnsi="Symbol" w:cs="Symbol"/>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8z0">
    <w:name w:val="WW8Num178z0"/>
    <w:qFormat/>
    <w:rPr>
      <w:rFonts w:ascii="Symbol" w:hAnsi="Symbol" w:cs="Symbol"/>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9z0">
    <w:name w:val="WW8Num179z0"/>
    <w:qFormat/>
    <w:rPr>
      <w:rFonts w:ascii="Symbol" w:hAnsi="Symbol" w:cs="Symbol"/>
      <w:color w:val="000000"/>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Times New Roman"/>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Times New Roman"/>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Heading">
    <w:name w:val="Heading"/>
    <w:basedOn w:val="Normal"/>
    <w:next w:val="BodyText"/>
    <w:qFormat/>
    <w:pPr>
      <w:tabs>
        <w:tab w:val="clear" w:pos="720"/>
        <w:tab w:val="center" w:pos="4680" w:leader="none"/>
      </w:tabs>
      <w:suppressAutoHyphens w:val="true"/>
      <w:jc w:val="center"/>
    </w:pPr>
    <w:rPr>
      <w:rFonts w:cs="Courier New"/>
      <w:b/>
      <w:bCs/>
      <w:spacing w:val="-3"/>
      <w:sz w:val="22"/>
      <w:szCs w:val="22"/>
      <w:u w:val="single"/>
    </w:rPr>
  </w:style>
  <w:style w:type="paragraph" w:styleId="BodyText">
    <w:name w:val="Body Text"/>
    <w:basedOn w:val="Normal"/>
    <w:pPr>
      <w:tabs>
        <w:tab w:val="clear" w:pos="720"/>
        <w:tab w:val="left" w:pos="-720" w:leader="none"/>
        <w:tab w:val="left" w:pos="0" w:leader="none"/>
      </w:tabs>
      <w:suppressAutoHyphens w:val="true"/>
      <w:jc w:val="both"/>
    </w:pPr>
    <w:rPr>
      <w:rFonts w:cs="Courier New"/>
      <w:sz w:val="22"/>
      <w:szCs w:val="22"/>
    </w:rPr>
  </w:style>
  <w:style w:type="paragraph" w:styleId="List">
    <w:name w:val="List"/>
    <w:basedOn w:val="Normal"/>
    <w:pPr>
      <w:autoSpaceDE w:val="true"/>
      <w:ind w:hanging="360" w:start="360" w:end="0"/>
    </w:pPr>
    <w:rPr>
      <w:rFonts w:ascii="Arial" w:hAnsi="Arial" w:cs="Arial"/>
      <w:sz w:val="20"/>
      <w:szCs w:val="20"/>
    </w:rPr>
  </w:style>
  <w:style w:type="paragraph" w:styleId="Caption">
    <w:name w:val="caption"/>
    <w:basedOn w:val="Normal"/>
    <w:next w:val="Normal"/>
    <w:qFormat/>
    <w:pPr/>
    <w:rPr>
      <w:rFonts w:cs="Courier New"/>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rFonts w:cs="Courier New"/>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rFonts w:cs="Courier New"/>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rFonts w:cs="Courier New"/>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rFonts w:cs="Courier New"/>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rFonts w:cs="Courier New"/>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rFonts w:cs="Courier New"/>
    </w:rPr>
  </w:style>
  <w:style w:type="paragraph" w:styleId="TOC7">
    <w:name w:val="toc 7"/>
    <w:basedOn w:val="Normal"/>
    <w:next w:val="Normal"/>
    <w:pPr>
      <w:suppressAutoHyphens w:val="true"/>
      <w:ind w:hanging="720" w:start="720" w:end="0"/>
    </w:pPr>
    <w:rPr>
      <w:rFonts w:cs="Courier New"/>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rFonts w:cs="Courier New"/>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rFonts w:cs="Courier New"/>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rFonts w:cs="Courier New"/>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rFonts w:cs="Courier New"/>
    </w:rPr>
  </w:style>
  <w:style w:type="paragraph" w:styleId="TOAHeading">
    <w:name w:val="TOA Heading"/>
    <w:basedOn w:val="Normal"/>
    <w:next w:val="Normal"/>
    <w:qFormat/>
    <w:pPr>
      <w:tabs>
        <w:tab w:val="clear" w:pos="720"/>
        <w:tab w:val="left" w:pos="9000" w:leader="none"/>
        <w:tab w:val="right" w:pos="9360" w:leader="none"/>
      </w:tabs>
      <w:suppressAutoHyphens w:val="true"/>
    </w:pPr>
    <w:rPr>
      <w:rFonts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cs="Courier New"/>
    </w:rPr>
  </w:style>
  <w:style w:type="paragraph" w:styleId="Footer">
    <w:name w:val="footer"/>
    <w:basedOn w:val="Normal"/>
    <w:pPr>
      <w:tabs>
        <w:tab w:val="clear" w:pos="720"/>
        <w:tab w:val="center" w:pos="4320" w:leader="none"/>
        <w:tab w:val="right" w:pos="8640" w:leader="none"/>
      </w:tabs>
    </w:pPr>
    <w:rPr>
      <w:rFonts w:cs="Courier New"/>
    </w:rPr>
  </w:style>
  <w:style w:type="paragraph" w:styleId="BodyTextIndent">
    <w:name w:val="Body Text Indent"/>
    <w:basedOn w:val="Normal"/>
    <w:pPr>
      <w:spacing w:lineRule="atLeast" w:line="240"/>
    </w:pPr>
    <w:rPr>
      <w:rFonts w:cs="Courier New"/>
      <w:color w:val="000000"/>
      <w:sz w:val="22"/>
      <w:szCs w:val="22"/>
    </w:rPr>
  </w:style>
  <w:style w:type="paragraph" w:styleId="BodyTextIndent2">
    <w:name w:val="Body Text Indent 2"/>
    <w:basedOn w:val="Normal"/>
    <w:qFormat/>
    <w:pPr>
      <w:tabs>
        <w:tab w:val="clear" w:pos="720"/>
        <w:tab w:val="left" w:pos="-720" w:leader="none"/>
        <w:tab w:val="left" w:pos="0" w:leader="none"/>
      </w:tabs>
      <w:suppressAutoHyphens w:val="true"/>
      <w:ind w:hanging="720" w:start="0" w:end="0"/>
      <w:jc w:val="both"/>
    </w:pPr>
    <w:rPr>
      <w:rFonts w:cs="Courier New"/>
      <w:spacing w:val="-3"/>
      <w:sz w:val="22"/>
      <w:szCs w:val="22"/>
    </w:rPr>
  </w:style>
  <w:style w:type="paragraph" w:styleId="BodyTextIndent3">
    <w:name w:val="Body Text Indent 3"/>
    <w:basedOn w:val="Normal"/>
    <w:qFormat/>
    <w:pPr>
      <w:tabs>
        <w:tab w:val="clear" w:pos="720"/>
        <w:tab w:val="left" w:pos="-720" w:leader="none"/>
        <w:tab w:val="left" w:pos="0" w:leader="none"/>
      </w:tabs>
      <w:suppressAutoHyphens w:val="true"/>
      <w:ind w:hanging="720" w:start="720" w:end="0"/>
      <w:jc w:val="both"/>
    </w:pPr>
    <w:rPr>
      <w:rFonts w:cs="Courier New"/>
      <w:spacing w:val="-3"/>
      <w:sz w:val="22"/>
      <w:szCs w:val="22"/>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overflowPunct w:val="false"/>
      <w:jc w:val="both"/>
      <w:textAlignment w:val="baseline"/>
    </w:pPr>
    <w:rPr>
      <w:rFonts w:cs="Courier New"/>
      <w:sz w:val="22"/>
      <w:szCs w:val="22"/>
    </w:rPr>
  </w:style>
  <w:style w:type="paragraph" w:styleId="BlockText">
    <w:name w:val="Block Text"/>
    <w:basedOn w:val="Normal"/>
    <w:qFormat/>
    <w:pPr>
      <w:ind w:hanging="0" w:start="432" w:end="432"/>
      <w:jc w:val="both"/>
    </w:pPr>
    <w:rPr>
      <w:rFonts w:ascii="Times New Roman" w:hAnsi="Times New Roman" w:cs="Times New Roman"/>
      <w:sz w:val="22"/>
    </w:rPr>
  </w:style>
  <w:style w:type="paragraph" w:styleId="BodyText2">
    <w:name w:val="Body Text 2"/>
    <w:basedOn w:val="Normal"/>
    <w:qFormat/>
    <w:pPr>
      <w:tabs>
        <w:tab w:val="clear" w:pos="720"/>
        <w:tab w:val="center" w:pos="4680" w:leader="none"/>
      </w:tabs>
      <w:suppressAutoHyphens w:val="true"/>
      <w:jc w:val="center"/>
    </w:pPr>
    <w:rPr>
      <w:rFonts w:ascii="Times New Roman" w:hAnsi="Times New Roman" w:cs="Times New Roman"/>
      <w:b/>
      <w:spacing w:val="-3"/>
      <w:sz w:val="22"/>
    </w:rPr>
  </w:style>
  <w:style w:type="paragraph" w:styleId="InsideAddress">
    <w:name w:val="Inside Address"/>
    <w:basedOn w:val="Normal"/>
    <w:qFormat/>
    <w:pPr>
      <w:autoSpaceDE w:val="true"/>
      <w:spacing w:lineRule="atLeast" w:line="240"/>
    </w:pPr>
    <w:rPr>
      <w:rFonts w:ascii="Garamond" w:hAnsi="Garamond" w:cs="Garamond"/>
      <w:kern w:val="2"/>
      <w:sz w:val="20"/>
      <w:szCs w:val="20"/>
    </w:rPr>
  </w:style>
  <w:style w:type="paragraph" w:styleId="TableofFigures">
    <w:name w:val="Table of Figures"/>
    <w:basedOn w:val="Normal"/>
    <w:qFormat/>
    <w:pPr>
      <w:tabs>
        <w:tab w:val="clear" w:pos="720"/>
        <w:tab w:val="right" w:pos="10080" w:leader="dot"/>
      </w:tabs>
      <w:autoSpaceDE w:val="true"/>
      <w:spacing w:before="0" w:after="120"/>
      <w:ind w:hanging="360" w:start="360" w:end="0"/>
    </w:pPr>
    <w:rPr>
      <w:rFonts w:ascii="Garamond" w:hAnsi="Garamond" w:cs="Garamond"/>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2001-11-15T18:05:00Z</dcterms:created>
  <dc:creator>Larry D. Grimm</dc:creator>
  <dc:description>        </dc:description>
  <dc:language>en-CA</dc:language>
  <cp:lastModifiedBy>Nancy Hetrick</cp:lastModifiedBy>
  <cp:lastPrinted>2001-08-20T08:28:00Z</cp:lastPrinted>
  <dcterms:modified xsi:type="dcterms:W3CDTF">2001-11-15T18:05:00Z</dcterms:modified>
  <cp:revision>2</cp:revision>
  <dc:subject/>
  <dc:title>_MINUTES OF THE ERCOT RETAIL MARKET SUBCOMMITTEE (RMS) MEETING</dc:title>
</cp:coreProperties>
</file>