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u w:val="single"/>
        </w:rPr>
      </w:pPr>
      <w:r>
        <w:rPr>
          <w:u w:val="single"/>
        </w:rPr>
        <w:t>APPROVED – 11/12/01</w:t>
      </w:r>
    </w:p>
    <w:p>
      <w:pPr>
        <w:pStyle w:val="BodyText2"/>
        <w:rPr/>
      </w:pPr>
      <w:r>
        <w:rPr/>
        <w:t>MINUTES OF THE ERCOT RETAIL MARKET SUBCOMMITTEE (RMS) MEETING</w:t>
      </w:r>
    </w:p>
    <w:p>
      <w:pPr>
        <w:pStyle w:val="Normal"/>
        <w:jc w:val="center"/>
        <w:rPr>
          <w:rFonts w:ascii="Times New Roman" w:hAnsi="Times New Roman" w:cs="Times New Roman"/>
          <w:b/>
          <w:sz w:val="22"/>
        </w:rPr>
      </w:pPr>
      <w:r>
        <w:rPr>
          <w:rFonts w:cs="Times New Roman" w:ascii="Times New Roman" w:hAnsi="Times New Roman"/>
          <w:b/>
          <w:sz w:val="22"/>
        </w:rPr>
        <w:t>ERCOT Austin Office</w:t>
      </w:r>
    </w:p>
    <w:p>
      <w:pPr>
        <w:pStyle w:val="Heading"/>
        <w:rPr>
          <w:rFonts w:ascii="Times New Roman" w:hAnsi="Times New Roman" w:cs="Times New Roman"/>
          <w:b w:val="false"/>
          <w:u w:val="none"/>
        </w:rPr>
      </w:pPr>
      <w:r>
        <w:rPr>
          <w:rFonts w:cs="Times New Roman" w:ascii="Times New Roman" w:hAnsi="Times New Roman"/>
          <w:u w:val="none"/>
        </w:rPr>
        <w:t>7620 Metro Center Drive</w:t>
      </w:r>
    </w:p>
    <w:p>
      <w:pPr>
        <w:pStyle w:val="Heading4"/>
        <w:ind w:hanging="0" w:start="0"/>
        <w:rPr>
          <w:rFonts w:ascii="Times New Roman" w:hAnsi="Times New Roman" w:cs="Times New Roman"/>
          <w:b w:val="false"/>
          <w:u w:val="none"/>
        </w:rPr>
      </w:pPr>
      <w:r>
        <w:rPr>
          <w:rFonts w:cs="Times New Roman" w:ascii="Times New Roman" w:hAnsi="Times New Roman"/>
          <w:u w:val="none"/>
        </w:rPr>
        <w:t>Austin, Texas</w:t>
      </w:r>
    </w:p>
    <w:p>
      <w:pPr>
        <w:pStyle w:val="Normal"/>
        <w:numPr>
          <w:ilvl w:val="0"/>
          <w:numId w:val="0"/>
        </w:numPr>
        <w:tabs>
          <w:tab w:val="clear" w:pos="720"/>
          <w:tab w:val="center" w:pos="4680" w:leader="none"/>
        </w:tabs>
        <w:suppressAutoHyphens w:val="true"/>
        <w:jc w:val="center"/>
        <w:outlineLvl w:val="0"/>
        <w:rPr>
          <w:rFonts w:ascii="Times New Roman" w:hAnsi="Times New Roman" w:cs="Times New Roman"/>
          <w:b/>
          <w:spacing w:val="-3"/>
          <w:sz w:val="22"/>
        </w:rPr>
      </w:pPr>
      <w:r>
        <w:rPr>
          <w:rFonts w:cs="Times New Roman" w:ascii="Times New Roman" w:hAnsi="Times New Roman"/>
          <w:b/>
          <w:spacing w:val="-3"/>
          <w:sz w:val="22"/>
        </w:rPr>
        <w:t>October 25, 2001</w:t>
      </w:r>
    </w:p>
    <w:p>
      <w:pPr>
        <w:pStyle w:val="Normal"/>
        <w:tabs>
          <w:tab w:val="clear" w:pos="720"/>
          <w:tab w:val="left" w:pos="-72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b/>
          <w:spacing w:val="-3"/>
          <w:sz w:val="22"/>
        </w:rPr>
      </w:pPr>
      <w:r>
        <w:rPr>
          <w:rFonts w:cs="Times New Roman" w:ascii="Times New Roman" w:hAnsi="Times New Roman"/>
          <w:spacing w:val="-3"/>
          <w:sz w:val="22"/>
        </w:rPr>
        <w:t>Chair Nancy Hetrick called the meeting to order on October 25, 2001 at 9:35 a.m.</w:t>
      </w:r>
    </w:p>
    <w:p>
      <w:pPr>
        <w:pStyle w:val="Normal"/>
        <w:tabs>
          <w:tab w:val="clear" w:pos="720"/>
          <w:tab w:val="left" w:pos="-72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u w:val="single"/>
        </w:rPr>
        <w:t>Attendance:</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tbl>
      <w:tblPr>
        <w:tblW w:w="9018" w:type="dxa"/>
        <w:jc w:val="start"/>
        <w:tblInd w:w="0" w:type="dxa"/>
        <w:tblLayout w:type="fixed"/>
        <w:tblCellMar>
          <w:top w:w="0" w:type="dxa"/>
          <w:start w:w="108" w:type="dxa"/>
          <w:bottom w:w="0" w:type="dxa"/>
          <w:end w:w="108" w:type="dxa"/>
        </w:tblCellMar>
      </w:tblPr>
      <w:tblGrid>
        <w:gridCol w:w="2268"/>
        <w:gridCol w:w="2520"/>
        <w:gridCol w:w="4230"/>
      </w:tblGrid>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Bender, Don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Doye, Rob</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Gross, Blake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Grossardt, Carl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Morton, Annette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Reed, Cary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Priestley, Vanus </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AES NewEnergy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Zdenek)</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Calloway, Jim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Calpine</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Jones, Randy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Calpine</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Briesemeister, Janee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Consumers Union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Molleda, Rudy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CPS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Chapman, Jennifer</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Dynegy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Crockett, Brenda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Dynegy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Hetrick, Nancy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Enron</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Breakfield, Jim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Conn, Lan Cao</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De la  Houssaye, Jon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Lennox,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Shaw, John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Vogler, Ree Ann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Weaver, Steve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Entergy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Bergman, Karen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Bojorquez, Bill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Broadrick, Cherie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Day, Betty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Grimm, Larry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Hancock, Tracy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Jones, Sam</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COO</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Odle, David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Wingerd, Glen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ERCOT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Staff</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Morales, Rita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Exolink</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Schrab, Heidi</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Green Mountain Energy</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Member/Texas SET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Whyte, Shirley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ITPTA</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Bertin, Suzanne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NewPower</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Meloro, Christine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NewPower</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Godoy, Ernest</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Nueces Electric Co-op.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Sweet, Pamela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Pedernales Electric Co-op</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Claiborne-Pinto, Shawnee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Corona, Connie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Dolese, Trish</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Lyzer, Sid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Spence, Glenda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PUCT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Barrett, Brian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 W. Beck</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Bilnoski, George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Castillo, Diana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Harris, Jeanette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Mauzy, Derek</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Neel, Susan</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Reliant </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Patel, Roshni</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TTPT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Patrick, Kyle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Scott, Kathy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Reliant</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Goodlet, Ralph</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Sharyland </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Shumate, Walt</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Shumate &amp; Associates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Vickers, Joe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STEC</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 Representative (for Packard)</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Darnell, Dave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Systrends</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TDTWG Chair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Bratton, Charlie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Fenoglio, Walt</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Member</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Hobbs, Darrell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McKeever, Debbie</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Prince, Jill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Sherburne, Michael</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Trietsch, Brad</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Weathersbee, Tommy</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r>
        <w:trPr/>
        <w:tc>
          <w:tcPr>
            <w:tcW w:w="2268"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Williams, Angela</w:t>
            </w:r>
          </w:p>
        </w:tc>
        <w:tc>
          <w:tcPr>
            <w:tcW w:w="252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TXU</w:t>
            </w:r>
          </w:p>
        </w:tc>
        <w:tc>
          <w:tcPr>
            <w:tcW w:w="4230" w:type="dxa"/>
            <w:tcBorders/>
          </w:tcPr>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Guest</w:t>
            </w:r>
          </w:p>
        </w:tc>
      </w:tr>
    </w:tbl>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pPr>
      <w:r>
        <w:rPr>
          <w:rFonts w:cs="Times New Roman" w:ascii="Times New Roman" w:hAnsi="Times New Roman"/>
          <w:sz w:val="22"/>
        </w:rPr>
        <w:t>Nancy Hetrick briefly reviewed the meeting agenda.</w:t>
      </w:r>
      <w:r>
        <w:rPr>
          <w:rFonts w:cs="Times New Roman" w:ascii="Times New Roman" w:hAnsi="Times New Roman"/>
          <w:sz w:val="22"/>
          <w:szCs w:val="20"/>
        </w:rPr>
        <w:t xml:space="preserve">    </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szCs w:val="20"/>
        </w:rPr>
      </w:pPr>
      <w:r>
        <w:rPr>
          <w:rFonts w:cs="Times New Roman" w:ascii="Times New Roman" w:hAnsi="Times New Roman"/>
          <w:sz w:val="22"/>
          <w:szCs w:val="20"/>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szCs w:val="20"/>
        </w:rPr>
      </w:pPr>
      <w:r>
        <w:rPr>
          <w:rFonts w:cs="Times New Roman" w:ascii="Times New Roman" w:hAnsi="Times New Roman"/>
          <w:sz w:val="22"/>
          <w:szCs w:val="20"/>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Approval of September 24, and October 11, 2001 Meeting Minutes</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rFonts w:ascii="Times New Roman" w:hAnsi="Times New Roman" w:cs="Times New Roman"/>
          <w:b/>
          <w:bCs/>
          <w:sz w:val="22"/>
        </w:rPr>
      </w:pPr>
      <w:r>
        <w:rPr>
          <w:rFonts w:cs="Times New Roman" w:ascii="Times New Roman" w:hAnsi="Times New Roman"/>
          <w:b/>
          <w:bCs/>
          <w:sz w:val="22"/>
        </w:rPr>
        <w:t xml:space="preserve">A motion was made by Walt Fenoglio and seconded by Rudy Molleda to approve the draft September 24, and October 11, 2001 RMS Meeting Minutes as presented.  The motion was approved by a unanimous voice vote.  </w:t>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TAC Meeting Update</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Nancy Hetrick briefly reviewed the October 4</w:t>
      </w:r>
      <w:r>
        <w:rPr>
          <w:rFonts w:cs="Times New Roman" w:ascii="Times New Roman" w:hAnsi="Times New Roman"/>
          <w:sz w:val="22"/>
          <w:vertAlign w:val="superscript"/>
        </w:rPr>
        <w:t>th</w:t>
      </w:r>
      <w:r>
        <w:rPr>
          <w:rFonts w:cs="Times New Roman" w:ascii="Times New Roman" w:hAnsi="Times New Roman"/>
          <w:sz w:val="22"/>
        </w:rPr>
        <w:t xml:space="preserve"> TAC Meeting, particularly the ITPTA Funding issue.  TAC Meeting Minutes are posted on the ERCOT Web Site.  The next TAC Meeting is scheduled for November 8</w:t>
      </w:r>
      <w:r>
        <w:rPr>
          <w:rFonts w:cs="Times New Roman" w:ascii="Times New Roman" w:hAnsi="Times New Roman"/>
          <w:sz w:val="22"/>
          <w:vertAlign w:val="superscript"/>
        </w:rPr>
        <w:t>th</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Load Profiling Working Group (LPWG) Report</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rFonts w:ascii="Times New Roman" w:hAnsi="Times New Roman" w:cs="Times New Roman"/>
          <w:b/>
          <w:bCs/>
          <w:sz w:val="22"/>
        </w:rPr>
      </w:pPr>
      <w:r>
        <w:rPr>
          <w:rFonts w:cs="Times New Roman" w:ascii="Times New Roman" w:hAnsi="Times New Roman"/>
          <w:sz w:val="22"/>
        </w:rPr>
        <w:t xml:space="preserve">Darryl Nelson reported on the activities of the LPWG.  The LPWG is continuing to work on the new Load Profiling Operating Guides (LPOG) and is reviewing sections as they are completed.  </w:t>
      </w:r>
      <w:r>
        <w:rPr>
          <w:rFonts w:cs="Times New Roman" w:ascii="Times New Roman" w:hAnsi="Times New Roman"/>
          <w:b/>
          <w:bCs/>
          <w:sz w:val="22"/>
          <w:szCs w:val="20"/>
        </w:rPr>
        <w:t xml:space="preserve">Nelson reported that the LPWG has reached a consensus on five sections of the LPOG that will be presented at a subsequent RMS Meeting.  </w:t>
      </w:r>
    </w:p>
    <w:p>
      <w:pPr>
        <w:pStyle w:val="Normal"/>
        <w:ind w:start="720" w:end="0"/>
        <w:jc w:val="both"/>
        <w:rPr>
          <w:rFonts w:ascii="Times New Roman" w:hAnsi="Times New Roman" w:cs="Times New Roman"/>
          <w:b/>
          <w:bCs/>
          <w:sz w:val="22"/>
        </w:rPr>
      </w:pPr>
      <w:r>
        <w:rPr>
          <w:rFonts w:cs="Times New Roman" w:ascii="Times New Roman" w:hAnsi="Times New Roman"/>
          <w:b/>
          <w:bCs/>
          <w:sz w:val="22"/>
        </w:rPr>
      </w:r>
    </w:p>
    <w:p>
      <w:pPr>
        <w:pStyle w:val="Normal"/>
        <w:ind w:start="720" w:end="0"/>
        <w:jc w:val="both"/>
        <w:rPr>
          <w:rFonts w:ascii="Times New Roman" w:hAnsi="Times New Roman" w:cs="Times New Roman"/>
          <w:sz w:val="22"/>
        </w:rPr>
      </w:pPr>
      <w:r>
        <w:rPr>
          <w:rFonts w:cs="Times New Roman" w:ascii="Times New Roman" w:hAnsi="Times New Roman"/>
          <w:sz w:val="22"/>
        </w:rPr>
        <w:t>Nelson reported that</w:t>
      </w:r>
      <w:r>
        <w:rPr>
          <w:rFonts w:cs="Times New Roman" w:ascii="Times New Roman" w:hAnsi="Times New Roman"/>
          <w:sz w:val="22"/>
          <w:szCs w:val="20"/>
        </w:rPr>
        <w:t xml:space="preserve"> the LPWG discussed the need for ERCOT to conduct load research in 2002 in support of load profiling.  The LPWG reached consensus to support the effort by ERCOT to begin load research on a limited basis and to recover these costs.  ERCOT is ultimately responsible for the development and maintenance of load profiles used in the ERCOT Market.  Nelson discussed the background for why centralized profiling is needed:</w:t>
      </w:r>
    </w:p>
    <w:p>
      <w:pPr>
        <w:pStyle w:val="BodyTextIndent"/>
        <w:numPr>
          <w:ilvl w:val="0"/>
          <w:numId w:val="10"/>
        </w:numPr>
        <w:jc w:val="both"/>
        <w:rPr>
          <w:rFonts w:ascii="Times New Roman" w:hAnsi="Times New Roman" w:cs="Times New Roman"/>
        </w:rPr>
      </w:pPr>
      <w:r>
        <w:rPr>
          <w:rFonts w:cs="Times New Roman" w:ascii="Times New Roman" w:hAnsi="Times New Roman"/>
        </w:rPr>
        <w:t>Since other related ERCOT functions are centralized, i.e. Settlements and Customer Registration, it makes for the most efficient use of resources</w:t>
      </w:r>
    </w:p>
    <w:p>
      <w:pPr>
        <w:pStyle w:val="Normal"/>
        <w:numPr>
          <w:ilvl w:val="0"/>
          <w:numId w:val="10"/>
        </w:numPr>
        <w:jc w:val="both"/>
        <w:rPr>
          <w:rFonts w:ascii="Times New Roman" w:hAnsi="Times New Roman" w:cs="Times New Roman"/>
          <w:sz w:val="22"/>
        </w:rPr>
      </w:pPr>
      <w:r>
        <w:rPr>
          <w:rFonts w:cs="Times New Roman" w:ascii="Times New Roman" w:hAnsi="Times New Roman"/>
          <w:sz w:val="22"/>
        </w:rPr>
        <w:t>Benefits:</w:t>
      </w:r>
    </w:p>
    <w:p>
      <w:pPr>
        <w:pStyle w:val="Normal"/>
        <w:numPr>
          <w:ilvl w:val="1"/>
          <w:numId w:val="10"/>
        </w:numPr>
        <w:jc w:val="both"/>
        <w:rPr>
          <w:rFonts w:ascii="Times New Roman" w:hAnsi="Times New Roman" w:cs="Times New Roman"/>
          <w:sz w:val="22"/>
        </w:rPr>
      </w:pPr>
      <w:r>
        <w:rPr>
          <w:rFonts w:cs="Times New Roman" w:ascii="Times New Roman" w:hAnsi="Times New Roman"/>
          <w:sz w:val="22"/>
        </w:rPr>
        <w:t>Potential for greater acceptance by retailers</w:t>
      </w:r>
    </w:p>
    <w:p>
      <w:pPr>
        <w:pStyle w:val="Normal"/>
        <w:numPr>
          <w:ilvl w:val="0"/>
          <w:numId w:val="7"/>
        </w:numPr>
        <w:tabs>
          <w:tab w:val="clear" w:pos="720"/>
          <w:tab w:val="left" w:pos="1440" w:leader="none"/>
          <w:tab w:val="left" w:pos="2520" w:leader="none"/>
        </w:tabs>
        <w:ind w:hanging="360" w:start="2520" w:end="0"/>
        <w:jc w:val="both"/>
        <w:rPr>
          <w:rFonts w:ascii="Times New Roman" w:hAnsi="Times New Roman" w:cs="Times New Roman"/>
          <w:sz w:val="22"/>
        </w:rPr>
      </w:pPr>
      <w:r>
        <w:rPr>
          <w:rFonts w:cs="Times New Roman" w:ascii="Times New Roman" w:hAnsi="Times New Roman"/>
          <w:sz w:val="22"/>
        </w:rPr>
        <w:t>Single provider of load profiles</w:t>
      </w:r>
    </w:p>
    <w:p>
      <w:pPr>
        <w:pStyle w:val="Normal"/>
        <w:numPr>
          <w:ilvl w:val="0"/>
          <w:numId w:val="7"/>
        </w:numPr>
        <w:tabs>
          <w:tab w:val="clear" w:pos="720"/>
          <w:tab w:val="left" w:pos="1440" w:leader="none"/>
          <w:tab w:val="left" w:pos="2520" w:leader="none"/>
        </w:tabs>
        <w:ind w:hanging="360" w:start="2520" w:end="0"/>
        <w:jc w:val="both"/>
        <w:rPr>
          <w:rFonts w:ascii="Times New Roman" w:hAnsi="Times New Roman" w:cs="Times New Roman"/>
          <w:sz w:val="22"/>
        </w:rPr>
      </w:pPr>
      <w:r>
        <w:rPr>
          <w:rFonts w:cs="Times New Roman" w:ascii="Times New Roman" w:hAnsi="Times New Roman"/>
          <w:sz w:val="22"/>
        </w:rPr>
        <w:t>Consistent development of load profiles</w:t>
      </w:r>
    </w:p>
    <w:p>
      <w:pPr>
        <w:pStyle w:val="Normal"/>
        <w:numPr>
          <w:ilvl w:val="0"/>
          <w:numId w:val="7"/>
        </w:numPr>
        <w:tabs>
          <w:tab w:val="clear" w:pos="720"/>
          <w:tab w:val="left" w:pos="1440" w:leader="none"/>
          <w:tab w:val="left" w:pos="2520" w:leader="none"/>
        </w:tabs>
        <w:ind w:hanging="360" w:start="2520" w:end="0"/>
        <w:jc w:val="both"/>
        <w:rPr>
          <w:rFonts w:ascii="Times New Roman" w:hAnsi="Times New Roman" w:cs="Times New Roman"/>
          <w:sz w:val="22"/>
        </w:rPr>
      </w:pPr>
      <w:r>
        <w:rPr>
          <w:rFonts w:cs="Times New Roman" w:ascii="Times New Roman" w:hAnsi="Times New Roman"/>
          <w:sz w:val="22"/>
        </w:rPr>
        <w:t>Neutral third party</w:t>
      </w:r>
    </w:p>
    <w:p>
      <w:pPr>
        <w:pStyle w:val="Normal"/>
        <w:numPr>
          <w:ilvl w:val="0"/>
          <w:numId w:val="7"/>
        </w:numPr>
        <w:tabs>
          <w:tab w:val="clear" w:pos="720"/>
          <w:tab w:val="left" w:pos="1440" w:leader="none"/>
          <w:tab w:val="left" w:pos="2520" w:leader="none"/>
        </w:tabs>
        <w:ind w:hanging="360" w:start="2520" w:end="0"/>
        <w:jc w:val="both"/>
        <w:rPr>
          <w:rFonts w:ascii="Times New Roman" w:hAnsi="Times New Roman" w:cs="Times New Roman"/>
          <w:sz w:val="22"/>
        </w:rPr>
      </w:pPr>
      <w:r>
        <w:rPr>
          <w:rFonts w:cs="Times New Roman" w:ascii="Times New Roman" w:hAnsi="Times New Roman"/>
          <w:sz w:val="22"/>
        </w:rPr>
        <w:t>Possibility of fewer load profiles to manage</w:t>
      </w:r>
    </w:p>
    <w:p>
      <w:pPr>
        <w:pStyle w:val="Normal"/>
        <w:numPr>
          <w:ilvl w:val="0"/>
          <w:numId w:val="9"/>
        </w:numPr>
        <w:jc w:val="both"/>
        <w:rPr>
          <w:rFonts w:ascii="Times New Roman" w:hAnsi="Times New Roman" w:cs="Times New Roman"/>
          <w:sz w:val="22"/>
        </w:rPr>
      </w:pPr>
      <w:r>
        <w:rPr>
          <w:rFonts w:cs="Times New Roman" w:ascii="Times New Roman" w:hAnsi="Times New Roman"/>
          <w:sz w:val="22"/>
        </w:rPr>
        <w:t>Neutral third party would assign load profiles to geographic areas not represented in load profile samples</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rFonts w:ascii="Times New Roman" w:hAnsi="Times New Roman" w:cs="Times New Roman"/>
          <w:sz w:val="22"/>
        </w:rPr>
      </w:pPr>
      <w:r>
        <w:rPr>
          <w:rFonts w:cs="Times New Roman" w:ascii="Times New Roman" w:hAnsi="Times New Roman"/>
          <w:sz w:val="22"/>
        </w:rPr>
        <w:t>Two Protocol requirements are listed as incremental items in the 2002 Budget (not included in base budget):  the Load Research Program and UFE Metering.  Currently only two TDSPs have load research programs in place.  ERCOT must have load research data to validate the load profiling models (Protocol requirement).  ERCOT’s Senior Management has decided not to increase the ERCOT Administrative Fee from 2001 to 2002.  The LPWG has developed four scenarios:</w:t>
      </w:r>
    </w:p>
    <w:p>
      <w:pPr>
        <w:pStyle w:val="Normal"/>
        <w:numPr>
          <w:ilvl w:val="1"/>
          <w:numId w:val="9"/>
        </w:numPr>
        <w:tabs>
          <w:tab w:val="clear" w:pos="720"/>
          <w:tab w:val="left" w:pos="1440" w:leader="none"/>
        </w:tabs>
        <w:ind w:hanging="360" w:start="1440" w:end="0"/>
        <w:jc w:val="both"/>
        <w:rPr>
          <w:rFonts w:ascii="Times New Roman" w:hAnsi="Times New Roman" w:cs="Times New Roman"/>
          <w:sz w:val="22"/>
        </w:rPr>
      </w:pPr>
      <w:r>
        <w:rPr>
          <w:rFonts w:cs="Times New Roman" w:ascii="Times New Roman" w:hAnsi="Times New Roman"/>
          <w:sz w:val="22"/>
        </w:rPr>
        <w:t>Initial load profile development (7,000 points) - $4.5 Million</w:t>
      </w:r>
    </w:p>
    <w:p>
      <w:pPr>
        <w:pStyle w:val="Normal"/>
        <w:numPr>
          <w:ilvl w:val="1"/>
          <w:numId w:val="9"/>
        </w:numPr>
        <w:tabs>
          <w:tab w:val="clear" w:pos="720"/>
          <w:tab w:val="left" w:pos="1440" w:leader="none"/>
        </w:tabs>
        <w:ind w:hanging="360" w:start="1440" w:end="0"/>
        <w:jc w:val="both"/>
        <w:rPr>
          <w:rFonts w:ascii="Times New Roman" w:hAnsi="Times New Roman" w:cs="Times New Roman"/>
          <w:sz w:val="22"/>
        </w:rPr>
      </w:pPr>
      <w:r>
        <w:rPr>
          <w:rFonts w:cs="Times New Roman" w:ascii="Times New Roman" w:hAnsi="Times New Roman"/>
          <w:sz w:val="22"/>
        </w:rPr>
        <w:t>Simple random sample (14,400 points) - $9.2 Million</w:t>
      </w:r>
    </w:p>
    <w:p>
      <w:pPr>
        <w:pStyle w:val="Normal"/>
        <w:numPr>
          <w:ilvl w:val="1"/>
          <w:numId w:val="9"/>
        </w:numPr>
        <w:tabs>
          <w:tab w:val="clear" w:pos="720"/>
          <w:tab w:val="left" w:pos="1440" w:leader="none"/>
        </w:tabs>
        <w:ind w:hanging="360" w:start="1440" w:end="0"/>
        <w:jc w:val="both"/>
        <w:rPr>
          <w:rFonts w:ascii="Times New Roman" w:hAnsi="Times New Roman" w:cs="Times New Roman"/>
          <w:sz w:val="22"/>
        </w:rPr>
      </w:pPr>
      <w:r>
        <w:rPr>
          <w:rFonts w:cs="Times New Roman" w:ascii="Times New Roman" w:hAnsi="Times New Roman"/>
          <w:sz w:val="22"/>
        </w:rPr>
        <w:t>Compression approach (3,600 points) - $1.8 Million</w:t>
      </w:r>
    </w:p>
    <w:p>
      <w:pPr>
        <w:pStyle w:val="Normal"/>
        <w:numPr>
          <w:ilvl w:val="1"/>
          <w:numId w:val="9"/>
        </w:numPr>
        <w:tabs>
          <w:tab w:val="clear" w:pos="720"/>
          <w:tab w:val="left" w:pos="1440" w:leader="none"/>
        </w:tabs>
        <w:ind w:hanging="360" w:start="1440" w:end="0"/>
        <w:jc w:val="both"/>
        <w:rPr>
          <w:rFonts w:ascii="Times New Roman" w:hAnsi="Times New Roman" w:cs="Times New Roman"/>
          <w:sz w:val="22"/>
        </w:rPr>
      </w:pPr>
      <w:r>
        <w:rPr>
          <w:rFonts w:cs="Times New Roman" w:ascii="Times New Roman" w:hAnsi="Times New Roman"/>
          <w:sz w:val="22"/>
        </w:rPr>
        <w:t>Increased compression approach (6,000 points) - $3 Million</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The LPWG recommends a staged approach and Nelson discussed the benefits of such an approach.  The recommended budget to start the Load Research Program would be $1 Million.  </w:t>
      </w:r>
      <w:r>
        <w:rPr>
          <w:rFonts w:cs="Times New Roman" w:ascii="Times New Roman" w:hAnsi="Times New Roman"/>
          <w:b/>
          <w:bCs/>
          <w:sz w:val="22"/>
          <w:szCs w:val="20"/>
        </w:rPr>
        <w:t xml:space="preserve">A motion was made by Vanus Priestley and seconded by Joe Vickers to </w:t>
      </w:r>
      <w:r>
        <w:rPr>
          <w:rFonts w:cs="Times New Roman" w:ascii="Times New Roman" w:hAnsi="Times New Roman"/>
          <w:b/>
          <w:bCs/>
          <w:sz w:val="22"/>
        </w:rPr>
        <w:t xml:space="preserve">allow funding of $1 Million for ERCOT to begin performing load research in support of load profiling and recommend to the TAC for approval. </w:t>
      </w:r>
      <w:r>
        <w:rPr>
          <w:rFonts w:cs="Times New Roman" w:ascii="Times New Roman" w:hAnsi="Times New Roman"/>
          <w:b/>
          <w:bCs/>
          <w:sz w:val="22"/>
          <w:szCs w:val="20"/>
        </w:rPr>
        <w:t xml:space="preserve"> The motion was approved by a unanimous voice vote.</w:t>
      </w:r>
    </w:p>
    <w:p>
      <w:pPr>
        <w:pStyle w:val="Normal"/>
        <w:jc w:val="both"/>
        <w:rPr>
          <w:rFonts w:ascii="Times New Roman" w:hAnsi="Times New Roman" w:cs="Times New Roman"/>
          <w:b/>
          <w:bCs/>
          <w:sz w:val="22"/>
          <w:szCs w:val="20"/>
        </w:rPr>
      </w:pPr>
      <w:r>
        <w:rPr>
          <w:rFonts w:cs="Times New Roman" w:ascii="Times New Roman" w:hAnsi="Times New Roman"/>
          <w:b/>
          <w:bCs/>
          <w:sz w:val="22"/>
          <w:szCs w:val="20"/>
        </w:rPr>
      </w:r>
    </w:p>
    <w:p>
      <w:pPr>
        <w:pStyle w:val="Normal"/>
        <w:jc w:val="both"/>
        <w:rPr/>
      </w:pPr>
      <w:r>
        <w:rPr>
          <w:rFonts w:cs="Times New Roman" w:ascii="Times New Roman" w:hAnsi="Times New Roman"/>
          <w:sz w:val="22"/>
          <w:szCs w:val="20"/>
        </w:rPr>
        <w:tab/>
        <w:t>The next LPWG Meeting is scheduled for October 30</w:t>
      </w:r>
      <w:r>
        <w:rPr>
          <w:rFonts w:cs="Times New Roman" w:ascii="Times New Roman" w:hAnsi="Times New Roman"/>
          <w:sz w:val="22"/>
          <w:szCs w:val="20"/>
          <w:vertAlign w:val="superscript"/>
        </w:rPr>
        <w:t>th</w:t>
      </w:r>
      <w:r>
        <w:rPr>
          <w:rFonts w:cs="Times New Roman" w:ascii="Times New Roman" w:hAnsi="Times New Roman"/>
          <w:sz w:val="22"/>
          <w:szCs w:val="20"/>
        </w:rPr>
        <w:t xml:space="preserve"> and 31</w:t>
      </w:r>
      <w:r>
        <w:rPr>
          <w:rFonts w:cs="Times New Roman" w:ascii="Times New Roman" w:hAnsi="Times New Roman"/>
          <w:sz w:val="22"/>
          <w:szCs w:val="20"/>
          <w:vertAlign w:val="superscript"/>
        </w:rPr>
        <w:t>st</w:t>
      </w:r>
      <w:r>
        <w:rPr>
          <w:rFonts w:cs="Times New Roman" w:ascii="Times New Roman" w:hAnsi="Times New Roman"/>
          <w:sz w:val="22"/>
          <w:szCs w:val="20"/>
        </w:rPr>
        <w:t xml:space="preserve">. </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szCs w:val="20"/>
        </w:rPr>
      </w:pPr>
      <w:r>
        <w:rPr>
          <w:rFonts w:cs="Times New Roman" w:ascii="Times New Roman" w:hAnsi="Times New Roman"/>
          <w:sz w:val="22"/>
          <w:szCs w:val="20"/>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RMS Operating Guides</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tabs>
          <w:tab w:val="clear" w:pos="720"/>
          <w:tab w:val="left" w:pos="-720" w:leader="none"/>
          <w:tab w:val="left" w:pos="2160" w:leader="none"/>
          <w:tab w:val="left" w:pos="4410" w:leader="none"/>
        </w:tabs>
        <w:suppressAutoHyphens w:val="true"/>
        <w:ind w:start="720" w:end="0"/>
        <w:jc w:val="both"/>
        <w:rPr/>
      </w:pPr>
      <w:r>
        <w:rPr>
          <w:rFonts w:cs="Times New Roman" w:ascii="Times New Roman" w:hAnsi="Times New Roman"/>
          <w:sz w:val="22"/>
        </w:rPr>
        <w:t>Karen Bergman briefly reported on the status of RMS Operating Guides development.  Individuals interested in participating in this working group should contact Bergman (</w:t>
      </w:r>
      <w:hyperlink r:id="rId2">
        <w:r>
          <w:rPr>
            <w:rStyle w:val="Hyperlink"/>
            <w:rFonts w:cs="Times New Roman" w:ascii="Times New Roman" w:hAnsi="Times New Roman"/>
            <w:sz w:val="22"/>
          </w:rPr>
          <w:t>kbergman@ercot.com</w:t>
        </w:r>
      </w:hyperlink>
      <w:r>
        <w:rPr>
          <w:rFonts w:cs="Times New Roman" w:ascii="Times New Roman" w:hAnsi="Times New Roman"/>
          <w:sz w:val="22"/>
        </w:rPr>
        <w:t xml:space="preserve">).      </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 w:val="left" w:pos="2160" w:leader="none"/>
          <w:tab w:val="left" w:pos="4410" w:leader="none"/>
        </w:tabs>
        <w:ind w:hanging="0" w:start="0"/>
        <w:rPr>
          <w:rFonts w:ascii="Times New Roman" w:hAnsi="Times New Roman" w:cs="Times New Roman"/>
          <w:spacing w:val="0"/>
          <w:szCs w:val="24"/>
        </w:rPr>
      </w:pPr>
      <w:r>
        <w:rPr>
          <w:rFonts w:cs="Times New Roman" w:ascii="Times New Roman" w:hAnsi="Times New Roman"/>
          <w:spacing w:val="0"/>
          <w:szCs w:val="24"/>
        </w:rPr>
        <w:t>ITPTA Update</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rFonts w:ascii="Times New Roman" w:hAnsi="Times New Roman" w:cs="Times New Roman"/>
          <w:sz w:val="22"/>
        </w:rPr>
      </w:pPr>
      <w:r>
        <w:rPr>
          <w:rFonts w:cs="Times New Roman" w:ascii="Times New Roman" w:hAnsi="Times New Roman"/>
          <w:sz w:val="22"/>
        </w:rPr>
        <w:t xml:space="preserve">Shirley Whyte reported on Flight 1001.  Whyte provided an overview of Texas Market Transactions.  Flight 1001 is 45.9 percent complete and Whyte discussed highlights thus far.  </w:t>
      </w:r>
      <w:r>
        <w:rPr>
          <w:rFonts w:eastAsia="MS Mincho;ＭＳ 明朝" w:cs="Times New Roman" w:ascii="Times New Roman" w:hAnsi="Times New Roman"/>
          <w:sz w:val="22"/>
        </w:rPr>
        <w:t xml:space="preserve">The total number of transactions has increased from 6,940 during Flight 3801 to 16,673 in Flight 1001.  There were 20 Market Participants (MPs) for Flight 3801 and 43 MPs for Flight 1001.  Frame 6 will provide the most challenging frame of all testing to date due to the use of new code and meter tests.  </w:t>
      </w:r>
      <w:r>
        <w:rPr>
          <w:rFonts w:cs="Times New Roman" w:ascii="Times New Roman" w:hAnsi="Times New Roman"/>
          <w:sz w:val="22"/>
        </w:rPr>
        <w:t xml:space="preserve">Most TDSPs and ERCOT will be moving new code in for testing just before the frame commences.  Whyte recommended that testing schedules be more realistic in 2002.  </w:t>
      </w:r>
      <w:r>
        <w:rPr>
          <w:rFonts w:eastAsia="MS Mincho;ＭＳ 明朝" w:cs="Times New Roman" w:ascii="Times New Roman" w:hAnsi="Times New Roman"/>
          <w:sz w:val="22"/>
        </w:rPr>
        <w:t xml:space="preserve">Whyte noted that ERCOT has taken a leadership role in testing and reported that there is good cooperation among MPs.  </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Texas SET Report</w:t>
      </w:r>
    </w:p>
    <w:p>
      <w:pPr>
        <w:pStyle w:val="Normal"/>
        <w:ind w:start="720" w:end="0"/>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 xml:space="preserve">Heidi Schrab reported on the activities of the Texas SET.  </w:t>
      </w:r>
      <w:r>
        <w:rPr>
          <w:rFonts w:cs="Times New Roman" w:ascii="Times New Roman" w:hAnsi="Times New Roman"/>
          <w:sz w:val="22"/>
          <w:szCs w:val="20"/>
        </w:rPr>
        <w:t>Schrab discussed items that need to be included in the ERCOT Budget for 2002 related to Version 1.5 of the Implementation Guides.  The following items have been identified:</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 xml:space="preserve">Change Controls </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Move-In/Move-Out Issues (Priority Issue)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Notification Transaction (814_28/29) (Priority Issue)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CR Cancel of Switch (Priority Issue)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POLR Historical Usage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Temporary Pole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Ad-hoc Usage Request Process Flow</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TDSP Date Change Response/Change Requested Date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Customer Information Segments</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Premise Information Rejects (Emergency Issue)</w:t>
      </w:r>
    </w:p>
    <w:p>
      <w:pPr>
        <w:pStyle w:val="Normal"/>
        <w:numPr>
          <w:ilvl w:val="0"/>
          <w:numId w:val="2"/>
        </w:numPr>
        <w:jc w:val="both"/>
        <w:rPr>
          <w:rFonts w:ascii="Times New Roman" w:hAnsi="Times New Roman" w:cs="Times New Roman"/>
          <w:sz w:val="22"/>
          <w:szCs w:val="20"/>
        </w:rPr>
      </w:pPr>
      <w:r>
        <w:rPr>
          <w:rFonts w:cs="Times New Roman" w:ascii="Times New Roman" w:hAnsi="Times New Roman"/>
          <w:sz w:val="22"/>
          <w:szCs w:val="20"/>
        </w:rPr>
        <w:t>Phase X (Concurrent Processing; Forward of Meter Reads Within 4 Hours)</w:t>
      </w:r>
    </w:p>
    <w:p>
      <w:pPr>
        <w:pStyle w:val="Normal"/>
        <w:ind w:start="720" w:end="0"/>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Texas Test Plan Team Report (TTPT)</w:t>
      </w:r>
    </w:p>
    <w:p>
      <w:pPr>
        <w:pStyle w:val="Normal"/>
        <w:ind w:start="720" w:end="0"/>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pPr>
      <w:r>
        <w:rPr>
          <w:rFonts w:cs="Times New Roman" w:ascii="Times New Roman" w:hAnsi="Times New Roman"/>
          <w:sz w:val="22"/>
        </w:rPr>
        <w:t xml:space="preserve">Roshni Patel reported on the activities of the Texas Test Plan Team.  Patel provided a status on testing.  </w:t>
      </w:r>
      <w:r>
        <w:rPr>
          <w:rFonts w:cs="Times New Roman" w:ascii="Times New Roman" w:hAnsi="Times New Roman"/>
          <w:bCs/>
          <w:sz w:val="22"/>
        </w:rPr>
        <w:t xml:space="preserve">A new script has been added that will be tested by ERCOT Flight 1001 Market Participants to test for Emergency Change Controls 157 and 135.  </w:t>
      </w:r>
    </w:p>
    <w:p>
      <w:pPr>
        <w:pStyle w:val="Normal"/>
        <w:ind w:start="720" w:end="0"/>
        <w:jc w:val="both"/>
        <w:rPr>
          <w:rFonts w:ascii="Times New Roman" w:hAnsi="Times New Roman" w:cs="Times New Roman"/>
          <w:bCs/>
          <w:sz w:val="22"/>
        </w:rPr>
      </w:pPr>
      <w:r>
        <w:rPr>
          <w:rFonts w:cs="Times New Roman" w:ascii="Times New Roman" w:hAnsi="Times New Roman"/>
          <w:bCs/>
          <w:sz w:val="22"/>
        </w:rPr>
      </w:r>
    </w:p>
    <w:p>
      <w:pPr>
        <w:pStyle w:val="BodyText3"/>
        <w:ind w:start="720" w:end="0"/>
        <w:rPr>
          <w:rFonts w:ascii="Times New Roman" w:hAnsi="Times New Roman" w:cs="Times New Roman"/>
        </w:rPr>
      </w:pPr>
      <w:r>
        <w:rPr>
          <w:rFonts w:cs="Times New Roman" w:ascii="Times New Roman" w:hAnsi="Times New Roman"/>
        </w:rPr>
        <w:t>Patel discussed a draft Market Health Report.  The Texas Test Plan Team is concerned that if production is not proceeding smoothly in January, a testing date of March 04, 2002 may not be in the best interest of the market participants to insure a complete transition to choice.  Their concern is that resources will be diverted from fixing critical production issues to focus on an additional round of testing.  The TTPT feels that some objective criteria must be used to determine the status of Retail Market Open.  The objective of the Market Health Report is to gather and analyze data on interactions necessary to support the market among ERCOT, TDSPs and CRs.  The data itself is the focus of the report.  The data will reflect the market performance, not the performance of individual participants or market segments.</w:t>
      </w:r>
    </w:p>
    <w:p>
      <w:pPr>
        <w:pStyle w:val="BodyText3"/>
        <w:ind w:start="720" w:end="0"/>
        <w:rPr>
          <w:rFonts w:ascii="Times New Roman" w:hAnsi="Times New Roman" w:cs="Times New Roman"/>
        </w:rPr>
      </w:pPr>
      <w:r>
        <w:rPr>
          <w:rFonts w:cs="Times New Roman" w:ascii="Times New Roman" w:hAnsi="Times New Roman"/>
        </w:rPr>
      </w:r>
    </w:p>
    <w:p>
      <w:pPr>
        <w:pStyle w:val="Heading2"/>
        <w:tabs>
          <w:tab w:val="left" w:pos="-720" w:leader="none"/>
          <w:tab w:val="left" w:pos="0" w:leader="none"/>
          <w:tab w:val="left" w:pos="360" w:leader="none"/>
        </w:tabs>
        <w:ind w:hanging="0" w:start="720" w:end="0"/>
        <w:rPr/>
      </w:pPr>
      <w:r>
        <w:rPr>
          <w:rFonts w:cs="Times New Roman" w:ascii="Times New Roman" w:hAnsi="Times New Roman"/>
          <w:u w:val="none"/>
        </w:rPr>
        <w:t>Patel also discussed a New Market Entrant Guideline for Testing Document.</w:t>
      </w:r>
      <w:r>
        <w:rPr>
          <w:rFonts w:cs="Times New Roman" w:ascii="Times New Roman" w:hAnsi="Times New Roman"/>
          <w:color w:val="000000"/>
          <w:u w:val="none"/>
        </w:rPr>
        <w:t xml:space="preserve">  The purpose of this document is to assist New Market Participants entering the Testing Marketplace to identify testing resources, materials, and requirements.  </w:t>
      </w:r>
      <w:r>
        <w:rPr>
          <w:rFonts w:cs="Times New Roman" w:ascii="Times New Roman" w:hAnsi="Times New Roman"/>
          <w:u w:val="none"/>
        </w:rPr>
        <w:t>Patel also discussed the development of a Retesting Guidelines Document.  It was recommended that the RMS sponsor a workshop to develop Retesting Guidelines.</w:t>
      </w:r>
      <w:r>
        <w:rPr>
          <w:rFonts w:cs="Times New Roman" w:ascii="Times New Roman" w:hAnsi="Times New Roman"/>
          <w:bCs/>
          <w:iCs/>
          <w:u w:val="none"/>
        </w:rPr>
        <w:t xml:space="preserve">  </w:t>
      </w:r>
    </w:p>
    <w:p>
      <w:pPr>
        <w:pStyle w:val="Normal"/>
        <w:rPr>
          <w:rFonts w:ascii="Times New Roman" w:hAnsi="Times New Roman" w:cs="Times New Roman"/>
          <w:bCs/>
          <w:iCs/>
          <w:sz w:val="22"/>
          <w:highlight w:val="cyan"/>
          <w:u w:val="none"/>
        </w:rPr>
      </w:pPr>
      <w:r>
        <w:rPr>
          <w:rFonts w:cs="Times New Roman" w:ascii="Times New Roman" w:hAnsi="Times New Roman"/>
          <w:bCs/>
          <w:iCs/>
          <w:sz w:val="22"/>
          <w:highlight w:val="cyan"/>
          <w:u w:val="none"/>
        </w:rPr>
      </w:r>
    </w:p>
    <w:p>
      <w:pPr>
        <w:pStyle w:val="Normal"/>
        <w:ind w:start="720" w:end="0"/>
        <w:jc w:val="both"/>
        <w:rPr/>
      </w:pPr>
      <w:r>
        <w:rPr>
          <w:rFonts w:cs="Times New Roman" w:ascii="Times New Roman" w:hAnsi="Times New Roman"/>
          <w:sz w:val="22"/>
        </w:rPr>
        <w:t>Patel reported on date changes for the</w:t>
      </w:r>
      <w:r>
        <w:rPr>
          <w:rFonts w:cs="Times New Roman" w:ascii="Times New Roman" w:hAnsi="Times New Roman"/>
          <w:sz w:val="22"/>
          <w:szCs w:val="20"/>
        </w:rPr>
        <w:t xml:space="preserve"> second flight of testing for 2002 (Version 1.4F2). </w:t>
      </w:r>
      <w:r>
        <w:rPr>
          <w:rFonts w:cs="Times New Roman" w:ascii="Times New Roman" w:hAnsi="Times New Roman"/>
          <w:sz w:val="22"/>
        </w:rPr>
        <w:t xml:space="preserve"> </w:t>
      </w:r>
      <w:r>
        <w:rPr>
          <w:rFonts w:cs="Times New Roman" w:ascii="Times New Roman" w:hAnsi="Times New Roman"/>
          <w:bCs/>
          <w:sz w:val="22"/>
        </w:rPr>
        <w:t xml:space="preserve">The TTPT discussed the testing schedule for the remainder of 2002.  </w:t>
      </w:r>
      <w:r>
        <w:rPr>
          <w:rFonts w:cs="Times New Roman" w:ascii="Times New Roman" w:hAnsi="Times New Roman"/>
          <w:sz w:val="22"/>
        </w:rPr>
        <w:t xml:space="preserve">The </w:t>
      </w:r>
      <w:r>
        <w:rPr>
          <w:rFonts w:cs="Times New Roman" w:ascii="Times New Roman" w:hAnsi="Times New Roman"/>
          <w:color w:val="000000"/>
          <w:sz w:val="22"/>
        </w:rPr>
        <w:t xml:space="preserve">TTPT has revised several deadlines for completing tasks prior to the commencement of Flight V1.4F2 scheduled for March 18, 2002.  The revised schedule is as follows: </w:t>
      </w:r>
      <w:r>
        <w:rPr>
          <w:rFonts w:cs="Times New Roman" w:ascii="Times New Roman" w:hAnsi="Times New Roman"/>
          <w:sz w:val="22"/>
        </w:rPr>
        <w:t xml:space="preserve"> </w:t>
      </w:r>
    </w:p>
    <w:p>
      <w:pPr>
        <w:pStyle w:val="Normal"/>
        <w:numPr>
          <w:ilvl w:val="0"/>
          <w:numId w:val="12"/>
        </w:numPr>
        <w:tabs>
          <w:tab w:val="clear" w:pos="720"/>
          <w:tab w:val="left" w:pos="1530" w:leader="none"/>
        </w:tabs>
        <w:ind w:hanging="360" w:start="1530" w:end="0"/>
        <w:jc w:val="both"/>
        <w:rPr>
          <w:rFonts w:ascii="Times New Roman" w:hAnsi="Times New Roman" w:cs="Times New Roman"/>
          <w:sz w:val="22"/>
        </w:rPr>
      </w:pPr>
      <w:r>
        <w:rPr>
          <w:rFonts w:cs="Times New Roman" w:ascii="Times New Roman" w:hAnsi="Times New Roman"/>
          <w:sz w:val="22"/>
        </w:rPr>
        <w:t>January 24 – Notification distributed to announce pre-orientation for upcoming test flight</w:t>
      </w:r>
    </w:p>
    <w:p>
      <w:pPr>
        <w:pStyle w:val="Normal"/>
        <w:numPr>
          <w:ilvl w:val="0"/>
          <w:numId w:val="12"/>
        </w:numPr>
        <w:tabs>
          <w:tab w:val="clear" w:pos="720"/>
          <w:tab w:val="left" w:pos="1530" w:leader="none"/>
        </w:tabs>
        <w:ind w:hanging="360" w:start="1530" w:end="0"/>
        <w:jc w:val="both"/>
        <w:rPr>
          <w:rFonts w:ascii="Times New Roman" w:hAnsi="Times New Roman" w:cs="Times New Roman"/>
          <w:sz w:val="22"/>
        </w:rPr>
      </w:pPr>
      <w:r>
        <w:rPr>
          <w:rFonts w:cs="Times New Roman" w:ascii="Times New Roman" w:hAnsi="Times New Roman"/>
          <w:sz w:val="22"/>
        </w:rPr>
        <w:t>February 7 – Scripts for Flight V1.4F2 are final</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February 7 – Pre-Orientation Meeting</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February 15 – Production Market Health Report</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February 21 - Market Orientation Meeting</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February 25 - Complete and submit all required items including TSW</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4 – Test beds due to ERCOT/CRs</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4 – Connectivity Testing starts</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14 – Kickoff call</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March 18 – Scripts; start V1.4F2</w:t>
      </w:r>
    </w:p>
    <w:p>
      <w:pPr>
        <w:pStyle w:val="Normal"/>
        <w:numPr>
          <w:ilvl w:val="0"/>
          <w:numId w:val="4"/>
        </w:numPr>
        <w:tabs>
          <w:tab w:val="clear" w:pos="720"/>
          <w:tab w:val="left" w:pos="1530" w:leader="none"/>
        </w:tabs>
        <w:ind w:hanging="0" w:start="1170" w:end="0"/>
        <w:rPr>
          <w:rFonts w:ascii="Times New Roman" w:hAnsi="Times New Roman" w:cs="Times New Roman"/>
          <w:bCs/>
          <w:sz w:val="22"/>
        </w:rPr>
      </w:pPr>
      <w:r>
        <w:rPr>
          <w:rFonts w:cs="Times New Roman" w:ascii="Times New Roman" w:hAnsi="Times New Roman"/>
          <w:bCs/>
          <w:sz w:val="22"/>
        </w:rPr>
        <w:t>May 31 – Completion</w:t>
      </w:r>
    </w:p>
    <w:p>
      <w:pPr>
        <w:pStyle w:val="Normal"/>
        <w:ind w:start="720" w:end="0"/>
        <w:jc w:val="both"/>
        <w:rPr>
          <w:rFonts w:ascii="Times New Roman" w:hAnsi="Times New Roman" w:cs="Times New Roman"/>
          <w:bCs/>
          <w:sz w:val="22"/>
        </w:rPr>
      </w:pPr>
      <w:r>
        <w:rPr>
          <w:rFonts w:cs="Times New Roman" w:ascii="Times New Roman" w:hAnsi="Times New Roman"/>
          <w:bCs/>
          <w:sz w:val="22"/>
        </w:rPr>
      </w:r>
    </w:p>
    <w:p>
      <w:pPr>
        <w:pStyle w:val="Normal"/>
        <w:ind w:start="720" w:end="0"/>
        <w:jc w:val="both"/>
        <w:rPr>
          <w:rFonts w:ascii="Times New Roman" w:hAnsi="Times New Roman" w:cs="Times New Roman"/>
          <w:sz w:val="22"/>
        </w:rPr>
      </w:pPr>
      <w:r>
        <w:rPr>
          <w:rFonts w:cs="Times New Roman" w:ascii="Times New Roman" w:hAnsi="Times New Roman"/>
          <w:b/>
          <w:sz w:val="22"/>
        </w:rPr>
        <w:t>A motion was made by Heidi Schrab and seconded by Ernest Godoy to approve the revised dates for Version 1.4F2 as presented by Patel.  The motion was approved by a unanimous voice vote.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The next TTPT Meeting is scheduled for November 6</w:t>
      </w:r>
      <w:r>
        <w:rPr>
          <w:rFonts w:cs="Times New Roman" w:ascii="Times New Roman" w:hAnsi="Times New Roman"/>
          <w:sz w:val="22"/>
          <w:vertAlign w:val="superscript"/>
        </w:rPr>
        <w:t>th</w:t>
      </w:r>
      <w:r>
        <w:rPr>
          <w:rFonts w:cs="Times New Roman" w:ascii="Times New Roman" w:hAnsi="Times New Roman"/>
          <w:sz w:val="22"/>
        </w:rPr>
        <w:t xml:space="preserve"> and 7</w:t>
      </w:r>
      <w:r>
        <w:rPr>
          <w:rFonts w:cs="Times New Roman" w:ascii="Times New Roman" w:hAnsi="Times New Roman"/>
          <w:sz w:val="22"/>
          <w:vertAlign w:val="superscript"/>
        </w:rPr>
        <w:t>th</w:t>
      </w:r>
      <w:r>
        <w:rPr>
          <w:rFonts w:cs="Times New Roman" w:ascii="Times New Roman" w:hAnsi="Times New Roman"/>
          <w:sz w:val="22"/>
        </w:rPr>
        <w:t xml:space="preserve">. </w:t>
      </w:r>
      <w:r>
        <w:rPr>
          <w:rFonts w:cs="Times New Roman" w:ascii="Times New Roman" w:hAnsi="Times New Roman"/>
          <w:b/>
          <w:bCs/>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Texas Data Transport Working Group (TDTWG)</w:t>
      </w:r>
    </w:p>
    <w:p>
      <w:pPr>
        <w:pStyle w:val="Normal"/>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ind w:start="720" w:end="0"/>
        <w:jc w:val="both"/>
        <w:rPr>
          <w:rFonts w:ascii="Times New Roman" w:hAnsi="Times New Roman" w:cs="Times New Roman"/>
          <w:sz w:val="22"/>
          <w:szCs w:val="20"/>
        </w:rPr>
      </w:pPr>
      <w:r>
        <w:rPr>
          <w:rFonts w:cs="Times New Roman" w:ascii="Times New Roman" w:hAnsi="Times New Roman"/>
          <w:sz w:val="22"/>
        </w:rPr>
        <w:t xml:space="preserve">Dave Darnell reported on the activities of the TDTWG. </w:t>
      </w:r>
      <w:r>
        <w:rPr>
          <w:rFonts w:cs="Times New Roman" w:ascii="Times New Roman" w:hAnsi="Times New Roman"/>
          <w:sz w:val="22"/>
          <w:szCs w:val="20"/>
        </w:rPr>
        <w:t xml:space="preserve"> The TDTWG met on October 22</w:t>
      </w:r>
      <w:r>
        <w:rPr>
          <w:rFonts w:cs="Times New Roman" w:ascii="Times New Roman" w:hAnsi="Times New Roman"/>
          <w:sz w:val="22"/>
          <w:szCs w:val="20"/>
          <w:vertAlign w:val="superscript"/>
        </w:rPr>
        <w:t>nd</w:t>
      </w:r>
      <w:r>
        <w:rPr>
          <w:rFonts w:cs="Times New Roman" w:ascii="Times New Roman" w:hAnsi="Times New Roman"/>
          <w:sz w:val="22"/>
          <w:szCs w:val="20"/>
        </w:rPr>
        <w:t xml:space="preserve">.  </w:t>
      </w:r>
      <w:r>
        <w:rPr>
          <w:rFonts w:cs="Times New Roman" w:ascii="Times New Roman" w:hAnsi="Times New Roman"/>
          <w:sz w:val="22"/>
        </w:rPr>
        <w:t xml:space="preserve">The TDTWG discussed issues with the current FTP transport solution used between ERCOT and Market Participants.  The TDTWG reviewed a GISB EDM solution.  The current version of GISB EDM cannot be used by ERCOT in its current form due to security and other issues.  The current ERCOT process utilizes a pull model.  The group agreed that an enhanced version of GISB EDM was needed to meet ERCOT’s requirements.  Darnell discussed a GISB EDM solution with several enhancements.  The TDTWG agreed to pursue an enhanced GISB EDM solution as a long-term solution.  Darnell discussed details of the enhanced long-term solution as well as an interim solution.  It is hoped to have the FTP replaced with the interim solution before the March 2002 Test Flight.  The long-term solution is expected to be in place in the fourth quarter of 2002.  </w:t>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Normal"/>
        <w:jc w:val="both"/>
        <w:rPr>
          <w:rFonts w:ascii="Times New Roman" w:hAnsi="Times New Roman" w:cs="Times New Roman"/>
          <w:sz w:val="22"/>
          <w:szCs w:val="20"/>
        </w:rPr>
      </w:pPr>
      <w:r>
        <w:rPr>
          <w:rFonts w:cs="Times New Roman" w:ascii="Times New Roman" w:hAnsi="Times New Roman"/>
          <w:sz w:val="22"/>
          <w:szCs w:val="20"/>
        </w:rPr>
      </w:r>
    </w:p>
    <w:p>
      <w:pPr>
        <w:pStyle w:val="Heading2"/>
        <w:tabs>
          <w:tab w:val="clear" w:pos="0"/>
          <w:tab w:val="left" w:pos="-720" w:leader="none"/>
        </w:tabs>
        <w:suppressAutoHyphens w:val="false"/>
        <w:ind w:hanging="0" w:start="0"/>
        <w:rPr>
          <w:rFonts w:ascii="Times New Roman" w:hAnsi="Times New Roman" w:cs="Times New Roman"/>
          <w:spacing w:val="0"/>
          <w:szCs w:val="24"/>
          <w:u w:val="none"/>
        </w:rPr>
      </w:pPr>
      <w:r>
        <w:rPr>
          <w:rFonts w:cs="Times New Roman" w:ascii="Times New Roman" w:hAnsi="Times New Roman"/>
          <w:spacing w:val="0"/>
          <w:szCs w:val="24"/>
        </w:rPr>
        <w:t>Issues from the September 24, 2001 RMS Meeting</w:t>
      </w:r>
    </w:p>
    <w:p>
      <w:pPr>
        <w:pStyle w:val="BodyText"/>
        <w:tabs>
          <w:tab w:val="clear" w:pos="0"/>
          <w:tab w:val="left" w:pos="-720" w:leader="none"/>
        </w:tabs>
        <w:suppressAutoHyphens w:val="false"/>
        <w:ind w:start="1080" w:end="0"/>
        <w:rPr>
          <w:rFonts w:ascii="Times New Roman" w:hAnsi="Times New Roman" w:cs="Times New Roman"/>
          <w:spacing w:val="0"/>
          <w:szCs w:val="24"/>
          <w:u w:val="none"/>
        </w:rPr>
      </w:pPr>
      <w:r>
        <w:rPr>
          <w:rFonts w:cs="Times New Roman" w:ascii="Times New Roman" w:hAnsi="Times New Roman"/>
          <w:spacing w:val="0"/>
          <w:szCs w:val="24"/>
          <w:u w:val="none"/>
        </w:rPr>
      </w:r>
    </w:p>
    <w:p>
      <w:pPr>
        <w:pStyle w:val="Normal"/>
        <w:ind w:start="720" w:end="0"/>
        <w:jc w:val="both"/>
        <w:rPr>
          <w:rFonts w:ascii="Times New Roman" w:hAnsi="Times New Roman" w:cs="Times New Roman"/>
          <w:sz w:val="22"/>
          <w:u w:val="single"/>
        </w:rPr>
      </w:pPr>
      <w:r>
        <w:rPr>
          <w:rFonts w:cs="Times New Roman" w:ascii="Times New Roman" w:hAnsi="Times New Roman"/>
          <w:sz w:val="22"/>
          <w:u w:val="single"/>
        </w:rPr>
        <w:t>Ad-Hoc Historical Usage Request</w:t>
      </w:r>
      <w:r>
        <w:rPr>
          <w:rFonts w:cs="Times New Roman" w:ascii="Times New Roman" w:hAnsi="Times New Roman"/>
          <w:sz w:val="22"/>
        </w:rPr>
        <w:t xml:space="preserve"> – Rita Morales discussed the issue that a CR can receive an accept transaction from ERCOT making them think they will be getting the 867_02 soon.  In reality, the 814_26 is rejected by the TDSP, that reject is sent to ERCOT, but there is no mechanism to get the reject to the CR and therefore the CR is never notified that there was a problem.  Morales discussed three proposed options.  MPs in attendance supported proposed solution 2 to change the process so that ERCOT does not respond to the CR with the 814_27 until the 814_27 is received from the TDWP when the 814_26 is accepted by ERCOT.  If the reject reason is for CR is not the REP of record, send the 814_27 to the CR.  If the reject reason is for something else, ERCOT and the TDSP will need to work it out and the TDSP will send a new 814_27 accept.  If the 814_27 is an accept, ERCOT will send it to the CR at that time.  This requires a Protocols change and a new reason for “CR not REP of record”.  The CR might receive an 867_02 prior to receiving the 814_27 (accept).  </w:t>
      </w:r>
      <w:r>
        <w:rPr>
          <w:rFonts w:cs="Times New Roman" w:ascii="Times New Roman" w:hAnsi="Times New Roman"/>
          <w:b/>
          <w:bCs/>
          <w:sz w:val="22"/>
        </w:rPr>
        <w:t>A motion was made by Heidi Schrab and seconded by Joe Vickers to endorse proposed solution 2 as presented.  The motion was approved by a unanimous voice vote.</w:t>
      </w:r>
      <w:r>
        <w:rPr>
          <w:rFonts w:cs="Times New Roman" w:ascii="Times New Roman" w:hAnsi="Times New Roman"/>
          <w:sz w:val="22"/>
        </w:rPr>
        <w:t xml:space="preserve">   </w:t>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u w:val="single"/>
        </w:rPr>
        <w:t>Move-In/Move-Out Workshop</w:t>
      </w:r>
      <w:r>
        <w:rPr>
          <w:rFonts w:cs="Times New Roman" w:ascii="Times New Roman" w:hAnsi="Times New Roman"/>
          <w:sz w:val="22"/>
        </w:rPr>
        <w:t xml:space="preserve"> – Heidi Schrab discussed issues addressed at the Move-In/Move-Out Workshop held on October 9</w:t>
      </w:r>
      <w:r>
        <w:rPr>
          <w:rFonts w:cs="Times New Roman" w:ascii="Times New Roman" w:hAnsi="Times New Roman"/>
          <w:sz w:val="22"/>
          <w:vertAlign w:val="superscript"/>
        </w:rPr>
        <w:t>th</w:t>
      </w:r>
      <w:r>
        <w:rPr>
          <w:rFonts w:cs="Times New Roman" w:ascii="Times New Roman" w:hAnsi="Times New Roman"/>
          <w:sz w:val="22"/>
        </w:rPr>
        <w:t xml:space="preserve"> and 10</w:t>
      </w:r>
      <w:r>
        <w:rPr>
          <w:rFonts w:cs="Times New Roman" w:ascii="Times New Roman" w:hAnsi="Times New Roman"/>
          <w:sz w:val="22"/>
          <w:vertAlign w:val="superscript"/>
        </w:rPr>
        <w:t>th</w:t>
      </w:r>
      <w:r>
        <w:rPr>
          <w:rFonts w:cs="Times New Roman" w:ascii="Times New Roman" w:hAnsi="Times New Roman"/>
          <w:sz w:val="22"/>
        </w:rPr>
        <w:t>.  The purpose of this workshop was to develop solutions for the following issues: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6"/>
        </w:numPr>
        <w:rPr>
          <w:rFonts w:ascii="Times New Roman" w:hAnsi="Times New Roman" w:cs="Times New Roman"/>
          <w:sz w:val="22"/>
        </w:rPr>
      </w:pPr>
      <w:r>
        <w:rPr>
          <w:rFonts w:cs="Times New Roman" w:ascii="Times New Roman" w:hAnsi="Times New Roman"/>
          <w:sz w:val="22"/>
        </w:rPr>
        <w:t>Stacked move-ins – One move-in, then another – second will be rejected “not first in”.</w:t>
      </w:r>
    </w:p>
    <w:p>
      <w:pPr>
        <w:pStyle w:val="Normal"/>
        <w:numPr>
          <w:ilvl w:val="0"/>
          <w:numId w:val="6"/>
        </w:numPr>
        <w:rPr>
          <w:rFonts w:ascii="Times New Roman" w:hAnsi="Times New Roman" w:cs="Times New Roman"/>
          <w:sz w:val="22"/>
        </w:rPr>
      </w:pPr>
      <w:r>
        <w:rPr>
          <w:rFonts w:cs="Times New Roman" w:ascii="Times New Roman" w:hAnsi="Times New Roman"/>
          <w:sz w:val="22"/>
        </w:rPr>
        <w:t xml:space="preserve">Move-out with pending switch – Which CR submits move-out? </w:t>
      </w:r>
    </w:p>
    <w:p>
      <w:pPr>
        <w:pStyle w:val="Normal"/>
        <w:numPr>
          <w:ilvl w:val="0"/>
          <w:numId w:val="6"/>
        </w:numPr>
        <w:rPr>
          <w:rFonts w:ascii="Times New Roman" w:hAnsi="Times New Roman" w:cs="Times New Roman"/>
          <w:sz w:val="22"/>
        </w:rPr>
      </w:pPr>
      <w:r>
        <w:rPr>
          <w:rFonts w:cs="Times New Roman" w:ascii="Times New Roman" w:hAnsi="Times New Roman"/>
          <w:sz w:val="22"/>
        </w:rPr>
        <w:t>Move-in/out with date change – Forced move-outs with a subsequent date change.</w:t>
      </w:r>
    </w:p>
    <w:p>
      <w:pPr>
        <w:pStyle w:val="Normal"/>
        <w:numPr>
          <w:ilvl w:val="0"/>
          <w:numId w:val="6"/>
        </w:numPr>
        <w:rPr>
          <w:rFonts w:ascii="Times New Roman" w:hAnsi="Times New Roman" w:cs="Times New Roman"/>
          <w:sz w:val="22"/>
        </w:rPr>
      </w:pPr>
      <w:r>
        <w:rPr>
          <w:rFonts w:cs="Times New Roman" w:ascii="Times New Roman" w:hAnsi="Times New Roman"/>
          <w:sz w:val="22"/>
        </w:rPr>
        <w:t>Rejection of move-in/out for a date in past – Should ERCOT reject a date in the past?</w:t>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u w:val="single"/>
        </w:rPr>
        <w:t>Move-Out with Switch Pending</w:t>
      </w:r>
      <w:r>
        <w:rPr>
          <w:rFonts w:cs="Times New Roman" w:ascii="Times New Roman" w:hAnsi="Times New Roman"/>
          <w:sz w:val="22"/>
        </w:rPr>
        <w:t xml:space="preserve"> – Schrab discussed a scenario where a customer is currently with one CR and a switch request is submitted to a second CR.  The question is which CR submits the move-out.  The current CR will submit the move-out request and ask the customer of any pending switches.  The new CR will send the 814_08 cancel switch to ERCOT.  Each CR would ask the customer to call the other CR.  </w:t>
      </w:r>
      <w:r>
        <w:rPr>
          <w:rFonts w:cs="Times New Roman" w:ascii="Times New Roman" w:hAnsi="Times New Roman"/>
          <w:b/>
          <w:bCs/>
          <w:sz w:val="22"/>
        </w:rPr>
        <w:t>A motion was made by Walt Fenoglio and seconded by Vanus Priestley to approve the long-term solution as presented.  The motion was approved by a unanimous voice vote.</w:t>
      </w:r>
      <w:r>
        <w:rPr>
          <w:rFonts w:cs="Times New Roman" w:ascii="Times New Roman" w:hAnsi="Times New Roman"/>
          <w:sz w:val="22"/>
        </w:rPr>
        <w:t xml:space="preserve">  </w:t>
      </w:r>
    </w:p>
    <w:p>
      <w:pPr>
        <w:pStyle w:val="BodyText"/>
        <w:tabs>
          <w:tab w:val="clear" w:pos="0"/>
          <w:tab w:val="left" w:pos="-720" w:leader="none"/>
        </w:tabs>
        <w:suppressAutoHyphens w:val="false"/>
        <w:rPr>
          <w:rFonts w:ascii="Times New Roman" w:hAnsi="Times New Roman" w:cs="Times New Roman"/>
          <w:sz w:val="22"/>
          <w:szCs w:val="24"/>
        </w:rPr>
      </w:pPr>
      <w:r>
        <w:rPr>
          <w:rFonts w:cs="Times New Roman" w:ascii="Times New Roman" w:hAnsi="Times New Roman"/>
          <w:sz w:val="22"/>
          <w:szCs w:val="24"/>
        </w:rPr>
      </w:r>
    </w:p>
    <w:p>
      <w:pPr>
        <w:pStyle w:val="BodyText"/>
        <w:tabs>
          <w:tab w:val="clear" w:pos="0"/>
          <w:tab w:val="left" w:pos="-720" w:leader="none"/>
        </w:tabs>
        <w:suppressAutoHyphens w:val="false"/>
        <w:rPr>
          <w:rFonts w:ascii="Times New Roman" w:hAnsi="Times New Roman" w:cs="Times New Roman"/>
          <w:szCs w:val="24"/>
        </w:rPr>
      </w:pPr>
      <w:r>
        <w:rPr>
          <w:rFonts w:cs="Times New Roman" w:ascii="Times New Roman" w:hAnsi="Times New Roman"/>
          <w:szCs w:val="24"/>
        </w:rPr>
      </w:r>
    </w:p>
    <w:p>
      <w:pPr>
        <w:pStyle w:val="BodyText"/>
        <w:tabs>
          <w:tab w:val="clear" w:pos="0"/>
          <w:tab w:val="left" w:pos="-720" w:leader="none"/>
        </w:tabs>
        <w:suppressAutoHyphens w:val="false"/>
        <w:ind w:start="720" w:end="0"/>
        <w:rPr/>
      </w:pPr>
      <w:r>
        <w:rPr>
          <w:rFonts w:cs="Times New Roman" w:ascii="Times New Roman" w:hAnsi="Times New Roman"/>
          <w:u w:val="single"/>
        </w:rPr>
        <w:t>Stacked Move-In/Move-Out</w:t>
      </w:r>
      <w:r>
        <w:rPr>
          <w:rFonts w:cs="Times New Roman" w:ascii="Times New Roman" w:hAnsi="Times New Roman"/>
        </w:rPr>
        <w:t xml:space="preserve"> – Schrab discussed an interim solution for when one move-in is received followed by a second move-in request and which request is rejected.  The CRs have agreed not to send in Move-In requests prior to 14 days before the move in will occur.  A TDSP cannot originate a Move-In on behalf of a CR.  If there is a landlord, the CR can contact their customer and if the customer is the landlord, ask the landlord to contact the new tenant and request that they ask their CR for a date change.  If the CR cannot contact the current customer (landlord, builder, etc.), the CR should call ERCOT and request them to call the “new” CR and help resolve the situation. </w:t>
      </w:r>
    </w:p>
    <w:p>
      <w:pPr>
        <w:pStyle w:val="BodyText"/>
        <w:tabs>
          <w:tab w:val="clear" w:pos="0"/>
          <w:tab w:val="left" w:pos="-720" w:leader="none"/>
        </w:tabs>
        <w:suppressAutoHyphens w:val="false"/>
        <w:ind w:start="720" w:end="0"/>
        <w:rPr>
          <w:rFonts w:ascii="Times New Roman" w:hAnsi="Times New Roman" w:cs="Times New Roman"/>
        </w:rPr>
      </w:pPr>
      <w:r>
        <w:rPr>
          <w:rFonts w:cs="Times New Roman" w:ascii="Times New Roman" w:hAnsi="Times New Roman"/>
        </w:rPr>
        <w:t xml:space="preserve">   </w:t>
      </w:r>
    </w:p>
    <w:p>
      <w:pPr>
        <w:pStyle w:val="BodyText"/>
        <w:tabs>
          <w:tab w:val="clear" w:pos="0"/>
          <w:tab w:val="left" w:pos="-720" w:leader="none"/>
        </w:tabs>
        <w:suppressAutoHyphens w:val="false"/>
        <w:ind w:start="720" w:end="0"/>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u w:val="single"/>
        </w:rPr>
        <w:t>Rejection of a Move-In/Move-Out for a Date in the Past</w:t>
      </w:r>
      <w:r>
        <w:rPr>
          <w:rFonts w:cs="Times New Roman" w:ascii="Times New Roman" w:hAnsi="Times New Roman"/>
          <w:sz w:val="22"/>
        </w:rPr>
        <w:t xml:space="preserve"> – Schrab discussed a scenario where a CR sends a Move-In or a Move-Out for a date that has already passed.  Currently, the CR does not get notified of the TDSP rejection.  Schrab discussed an interim solution.  It is strongly recommended that CRs will not send dates in the past no less than current date plus one minimum.  CRs must diligently (within 14 days) send current or future dated Move-Ins and Move-Outs.  When transactions are rejected for a date in the past, ERCOT will send e-mails to the CRs.  The CR would have to be notified to resubmit the transaction with a proper date.  </w:t>
      </w:r>
      <w:r>
        <w:rPr>
          <w:rFonts w:cs="Times New Roman" w:ascii="Times New Roman" w:hAnsi="Times New Roman"/>
          <w:b/>
          <w:bCs/>
          <w:sz w:val="22"/>
        </w:rPr>
        <w:t xml:space="preserve"> </w:t>
      </w:r>
    </w:p>
    <w:p>
      <w:pPr>
        <w:pStyle w:val="BodyText"/>
        <w:tabs>
          <w:tab w:val="clear" w:pos="0"/>
          <w:tab w:val="left" w:pos="-720" w:leader="none"/>
        </w:tabs>
        <w:suppressAutoHyphens w:val="false"/>
        <w:ind w:start="720" w:end="0"/>
        <w:rPr>
          <w:rFonts w:ascii="Times New Roman" w:hAnsi="Times New Roman" w:cs="Times New Roman"/>
          <w:sz w:val="22"/>
        </w:rPr>
      </w:pPr>
      <w:r>
        <w:rPr>
          <w:rFonts w:cs="Times New Roman" w:ascii="Times New Roman" w:hAnsi="Times New Roman"/>
          <w:sz w:val="22"/>
        </w:rPr>
      </w:r>
    </w:p>
    <w:p>
      <w:pPr>
        <w:pStyle w:val="BodyText"/>
        <w:tabs>
          <w:tab w:val="clear" w:pos="0"/>
          <w:tab w:val="left" w:pos="-720" w:leader="none"/>
        </w:tabs>
        <w:suppressAutoHyphens w:val="false"/>
        <w:rPr>
          <w:rFonts w:ascii="Times New Roman" w:hAnsi="Times New Roman" w:cs="Times New Roman"/>
        </w:rPr>
      </w:pPr>
      <w:r>
        <w:rPr>
          <w:rFonts w:cs="Times New Roman" w:ascii="Times New Roman" w:hAnsi="Times New Roman"/>
        </w:rPr>
      </w:r>
    </w:p>
    <w:p>
      <w:pPr>
        <w:pStyle w:val="BodyText"/>
        <w:tabs>
          <w:tab w:val="clear" w:pos="0"/>
          <w:tab w:val="left" w:pos="-720" w:leader="none"/>
        </w:tabs>
        <w:suppressAutoHyphens w:val="false"/>
        <w:ind w:start="720" w:end="0"/>
        <w:rPr/>
      </w:pPr>
      <w:r>
        <w:rPr>
          <w:rFonts w:cs="Times New Roman" w:ascii="Times New Roman" w:hAnsi="Times New Roman"/>
          <w:u w:val="single"/>
        </w:rPr>
        <w:t>Move-In/Move-Out With Date Change</w:t>
      </w:r>
      <w:r>
        <w:rPr>
          <w:rFonts w:cs="Times New Roman" w:ascii="Times New Roman" w:hAnsi="Times New Roman"/>
        </w:rPr>
        <w:t xml:space="preserve"> – Schrab discussed a proposed interim solution to address the scenario where there is a date change associated with a move-in/move-out.  When the current CR receives the 814_12 with the BGN06 of CR1, CR2 will review the reference number to validate whether or not the original transaction was sent by it.  If not, the CR2 may (or may not) submit an 814_12 MVO Date Change Request back to ERCOT for the MVO Date that it desires for it’s customer.  In addition, the CRs will submit Move-Ins no more than 14 calendar days prior to the desired Move-In Date.   </w:t>
      </w:r>
    </w:p>
    <w:p>
      <w:pPr>
        <w:pStyle w:val="BodyText"/>
        <w:tabs>
          <w:tab w:val="clear" w:pos="0"/>
          <w:tab w:val="left" w:pos="-720" w:leader="none"/>
        </w:tabs>
        <w:suppressAutoHyphens w:val="false"/>
        <w:rPr>
          <w:rFonts w:ascii="Times New Roman" w:hAnsi="Times New Roman" w:cs="Times New Roman"/>
        </w:rPr>
      </w:pPr>
      <w:r>
        <w:rPr>
          <w:rFonts w:cs="Times New Roman" w:ascii="Times New Roman" w:hAnsi="Times New Roman"/>
        </w:rPr>
      </w:r>
    </w:p>
    <w:p>
      <w:pPr>
        <w:pStyle w:val="Normal"/>
        <w:jc w:val="both"/>
        <w:rPr>
          <w:rFonts w:ascii="Times New Roman" w:hAnsi="Times New Roman" w:cs="Courier New"/>
          <w:sz w:val="22"/>
          <w:szCs w:val="22"/>
        </w:rPr>
      </w:pPr>
      <w:r>
        <w:rPr>
          <w:rFonts w:cs="Courier New" w:ascii="Times New Roman" w:hAnsi="Times New Roman"/>
          <w:sz w:val="22"/>
          <w:szCs w:val="22"/>
        </w:rPr>
      </w:r>
    </w:p>
    <w:p>
      <w:pPr>
        <w:pStyle w:val="BodyText"/>
        <w:tabs>
          <w:tab w:val="clear" w:pos="0"/>
          <w:tab w:val="left" w:pos="-720" w:leader="none"/>
        </w:tabs>
        <w:suppressAutoHyphens w:val="false"/>
        <w:ind w:start="720" w:end="0"/>
        <w:rPr>
          <w:rFonts w:ascii="Times New Roman" w:hAnsi="Times New Roman" w:cs="Times New Roman"/>
        </w:rPr>
      </w:pPr>
      <w:r>
        <w:rPr>
          <w:rFonts w:cs="Times New Roman" w:ascii="Times New Roman" w:hAnsi="Times New Roman"/>
          <w:u w:val="single"/>
        </w:rPr>
        <w:t>Cancellation of a Pending Switch</w:t>
      </w:r>
      <w:r>
        <w:rPr>
          <w:rFonts w:cs="Times New Roman" w:ascii="Times New Roman" w:hAnsi="Times New Roman"/>
        </w:rPr>
        <w:t xml:space="preserve"> – Dave Odle discussed a scenario where a customer either does not respond to the ERCOT postcard (Customer Review period…call this number if you feel you were slammed…) or chooses for another reason to cancel (not a slamming charge).  The issue is that some customers are expressing an interest in canceling the switch after the customer rescission period has expired, yet the CR has no way to initiate a cancel of its switch.  The customer submits the switch to a new CR.  During, or after, the customer protection period, the new CR calls to cancel the switch.  A CR cannot cancel its own switch after the customer protection period.  Odle discussed a proposed solution to allow the CR to cancel its own switch a certain number of days before the scheduled/requested meter read date by initiating an 814_08.  Odle noted that currently, when a CR needs to cancel a switch, the CR calls ERCOT and ERCOT then submits the switch on behalf of the requesting/current CR.  </w:t>
      </w:r>
      <w:r>
        <w:rPr>
          <w:rFonts w:cs="Times New Roman" w:ascii="Times New Roman" w:hAnsi="Times New Roman"/>
          <w:b/>
          <w:bCs/>
        </w:rPr>
        <w:t>A motion was made by Rudy Molleda and seconded by Randy Jones to approve the proposed solution as presented.  The motion was approved by a unanimous voice vote.</w:t>
      </w:r>
      <w:r>
        <w:rPr>
          <w:rFonts w:cs="Times New Roman" w:ascii="Times New Roman" w:hAnsi="Times New Roman"/>
        </w:rPr>
        <w:t xml:space="preserve">  </w:t>
      </w:r>
    </w:p>
    <w:p>
      <w:pPr>
        <w:pStyle w:val="Normal"/>
        <w:ind w:start="720" w:end="0"/>
        <w:jc w:val="both"/>
        <w:rPr>
          <w:rFonts w:ascii="Times New Roman" w:hAnsi="Times New Roman" w:cs="Courier New"/>
          <w:sz w:val="22"/>
          <w:szCs w:val="22"/>
        </w:rPr>
      </w:pPr>
      <w:r>
        <w:rPr>
          <w:rFonts w:cs="Times New Roman" w:ascii="Times New Roman" w:hAnsi="Times New Roman"/>
          <w:sz w:val="22"/>
        </w:rPr>
        <w:t xml:space="preserve"> </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BodyText"/>
        <w:tabs>
          <w:tab w:val="clear" w:pos="0"/>
          <w:tab w:val="left" w:pos="-720" w:leader="none"/>
        </w:tabs>
        <w:suppressAutoHyphens w:val="false"/>
        <w:ind w:firstLine="720" w:end="0"/>
        <w:rPr>
          <w:rFonts w:ascii="Times New Roman" w:hAnsi="Times New Roman" w:cs="Times New Roman"/>
        </w:rPr>
      </w:pPr>
      <w:r>
        <w:rPr>
          <w:rFonts w:cs="Times New Roman" w:ascii="Times New Roman" w:hAnsi="Times New Roman"/>
          <w:u w:val="single"/>
        </w:rPr>
        <w:t>Option 1 Outage Processing</w:t>
      </w:r>
    </w:p>
    <w:p>
      <w:pPr>
        <w:pStyle w:val="BodyText"/>
        <w:tabs>
          <w:tab w:val="clear" w:pos="0"/>
          <w:tab w:val="left" w:pos="-720" w:leader="none"/>
        </w:tabs>
        <w:suppressAutoHyphens w:val="false"/>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sz w:val="22"/>
        </w:rPr>
      </w:pPr>
      <w:r>
        <w:rPr>
          <w:rFonts w:cs="Times New Roman" w:ascii="Times New Roman" w:hAnsi="Times New Roman"/>
          <w:sz w:val="22"/>
        </w:rPr>
        <w:t>Jeanette Harris discussed a proposed solution related to Option 1 Outage Testing.  A market wide workshop was conducted to present the proposed solution.  Harris presented the following recommendation:</w:t>
      </w:r>
    </w:p>
    <w:p>
      <w:pPr>
        <w:pStyle w:val="Normal"/>
        <w:jc w:val="center"/>
        <w:rPr>
          <w:rFonts w:ascii="Times New Roman" w:hAnsi="Times New Roman" w:cs="Times New Roman"/>
          <w:bCs/>
          <w:sz w:val="22"/>
        </w:rPr>
      </w:pPr>
      <w:r>
        <w:rPr>
          <w:rFonts w:cs="Times New Roman" w:ascii="Times New Roman" w:hAnsi="Times New Roman"/>
          <w:bCs/>
          <w:sz w:val="22"/>
        </w:rPr>
      </w:r>
    </w:p>
    <w:p>
      <w:pPr>
        <w:pStyle w:val="Normal"/>
        <w:numPr>
          <w:ilvl w:val="0"/>
          <w:numId w:val="8"/>
        </w:numPr>
        <w:jc w:val="both"/>
        <w:rPr>
          <w:rFonts w:ascii="Times New Roman" w:hAnsi="Times New Roman" w:cs="Times New Roman"/>
          <w:bCs/>
          <w:sz w:val="22"/>
        </w:rPr>
      </w:pPr>
      <w:r>
        <w:rPr>
          <w:rFonts w:cs="Times New Roman" w:ascii="Times New Roman" w:hAnsi="Times New Roman"/>
          <w:bCs/>
          <w:sz w:val="22"/>
        </w:rPr>
        <w:t>Create an Electronic Outage Reporting proof of concept between Reliant Energy and TXU.</w:t>
      </w:r>
    </w:p>
    <w:p>
      <w:pPr>
        <w:pStyle w:val="Normal"/>
        <w:numPr>
          <w:ilvl w:val="0"/>
          <w:numId w:val="8"/>
        </w:numPr>
        <w:rPr>
          <w:rFonts w:ascii="Times New Roman" w:hAnsi="Times New Roman" w:cs="Times New Roman"/>
          <w:bCs/>
          <w:sz w:val="22"/>
        </w:rPr>
      </w:pPr>
      <w:r>
        <w:rPr>
          <w:rFonts w:cs="Times New Roman" w:ascii="Times New Roman" w:hAnsi="Times New Roman"/>
          <w:bCs/>
          <w:sz w:val="22"/>
        </w:rPr>
        <w:t xml:space="preserve">TDSPs recommend suspending further development on Texas SET 148. </w:t>
      </w:r>
    </w:p>
    <w:p>
      <w:pPr>
        <w:pStyle w:val="Normal"/>
        <w:numPr>
          <w:ilvl w:val="0"/>
          <w:numId w:val="8"/>
        </w:numPr>
        <w:jc w:val="both"/>
        <w:rPr>
          <w:rFonts w:ascii="Times New Roman" w:hAnsi="Times New Roman" w:cs="Times New Roman"/>
          <w:bCs/>
          <w:sz w:val="22"/>
        </w:rPr>
      </w:pPr>
      <w:r>
        <w:rPr>
          <w:rFonts w:cs="Times New Roman" w:ascii="Times New Roman" w:hAnsi="Times New Roman"/>
          <w:bCs/>
          <w:sz w:val="22"/>
        </w:rPr>
        <w:t>RMS directs Texas SET to remove the 148 Implementation Guide from all sources of publication.</w:t>
      </w:r>
    </w:p>
    <w:p>
      <w:pPr>
        <w:pStyle w:val="Normal"/>
        <w:numPr>
          <w:ilvl w:val="0"/>
          <w:numId w:val="8"/>
        </w:numPr>
        <w:jc w:val="both"/>
        <w:rPr>
          <w:rFonts w:ascii="Times New Roman" w:hAnsi="Times New Roman" w:cs="Times New Roman"/>
          <w:bCs/>
          <w:sz w:val="22"/>
        </w:rPr>
      </w:pPr>
      <w:r>
        <w:rPr>
          <w:rFonts w:cs="Times New Roman" w:ascii="Times New Roman" w:hAnsi="Times New Roman"/>
          <w:bCs/>
          <w:sz w:val="22"/>
        </w:rPr>
        <w:t xml:space="preserve">RMS directs the TTPT to remove testing of Texas SET 148 Transaction from Flight 1001.  </w:t>
      </w:r>
    </w:p>
    <w:p>
      <w:pPr>
        <w:pStyle w:val="Normal"/>
        <w:numPr>
          <w:ilvl w:val="0"/>
          <w:numId w:val="8"/>
        </w:numPr>
        <w:jc w:val="both"/>
        <w:rPr>
          <w:rFonts w:ascii="Times New Roman" w:hAnsi="Times New Roman" w:cs="Times New Roman"/>
          <w:bCs/>
          <w:sz w:val="22"/>
        </w:rPr>
      </w:pPr>
      <w:r>
        <w:rPr>
          <w:rFonts w:cs="Times New Roman" w:ascii="Times New Roman" w:hAnsi="Times New Roman"/>
          <w:bCs/>
          <w:sz w:val="22"/>
        </w:rPr>
        <w:t xml:space="preserve">Until the RMS approves this recommendation as the standard, those entities not participating in proof of concept will continue to use their current (Pilot) outage reporting solutions. </w:t>
      </w:r>
    </w:p>
    <w:p>
      <w:pPr>
        <w:pStyle w:val="Normal"/>
        <w:ind w:start="720" w:end="0"/>
        <w:jc w:val="both"/>
        <w:rPr>
          <w:rFonts w:ascii="Times New Roman" w:hAnsi="Times New Roman" w:cs="Times New Roman"/>
          <w:bCs/>
          <w:sz w:val="22"/>
        </w:rPr>
      </w:pPr>
      <w:r>
        <w:rPr>
          <w:rFonts w:cs="Times New Roman" w:ascii="Times New Roman" w:hAnsi="Times New Roman"/>
          <w:bCs/>
          <w:sz w:val="22"/>
        </w:rPr>
      </w:r>
    </w:p>
    <w:p>
      <w:pPr>
        <w:pStyle w:val="Normal"/>
        <w:ind w:start="720" w:end="0"/>
        <w:jc w:val="both"/>
        <w:rPr/>
      </w:pPr>
      <w:r>
        <w:rPr>
          <w:rFonts w:cs="Times New Roman" w:ascii="Times New Roman" w:hAnsi="Times New Roman"/>
          <w:bCs/>
          <w:sz w:val="22"/>
        </w:rPr>
        <w:t xml:space="preserve">Harris also discussed the goals and expectations related to the Electronic Outage Reporting Recommendation.  </w:t>
      </w:r>
      <w:r>
        <w:rPr>
          <w:rFonts w:cs="Times New Roman" w:ascii="Times New Roman" w:hAnsi="Times New Roman"/>
          <w:b/>
          <w:sz w:val="22"/>
        </w:rPr>
        <w:t xml:space="preserve">Dave Darnell was asked to review security.  A motion was made by Derek Mauzy and seconded by Carl Grossardt to approve the proposed Electronic Outage Reporting Recommendation as presented.  The motion was approved by a unanimous voice vote.  </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bCs/>
          <w:sz w:val="22"/>
        </w:rPr>
      </w:pPr>
      <w:r>
        <w:rPr>
          <w:rFonts w:cs="Times New Roman" w:ascii="Times New Roman" w:hAnsi="Times New Roman"/>
          <w:b/>
          <w:bCs/>
          <w:sz w:val="22"/>
        </w:rPr>
      </w:r>
    </w:p>
    <w:p>
      <w:pPr>
        <w:pStyle w:val="Normal"/>
        <w:ind w:start="720" w:end="0"/>
        <w:jc w:val="both"/>
        <w:rPr>
          <w:rFonts w:ascii="Times New Roman" w:hAnsi="Times New Roman" w:cs="Courier New"/>
          <w:sz w:val="22"/>
          <w:szCs w:val="22"/>
        </w:rPr>
      </w:pPr>
      <w:r>
        <w:rPr>
          <w:rFonts w:cs="Times New Roman" w:ascii="Times New Roman" w:hAnsi="Times New Roman"/>
          <w:sz w:val="22"/>
          <w:u w:val="single"/>
        </w:rPr>
        <w:t>814_04 Rejection From TDSP/ERCOT</w:t>
      </w:r>
      <w:r>
        <w:rPr>
          <w:rFonts w:cs="Times New Roman" w:ascii="Times New Roman" w:hAnsi="Times New Roman"/>
          <w:sz w:val="22"/>
        </w:rPr>
        <w:t xml:space="preserve"> – Dave Odle discussed that the majority of rejects come from the TDSP rejecting the 814_04.  ERCOT receives these rejects and currently has no automated way of notifying the CR.  If the 814_04 rejects at ERCOT, there is no automated way of informing the TDSP or the CR.  ERCOT feels that all parties should be notified in the event of any failures.  Currently the registration department at ERCOT has a report that is compiled and sent to the MP’s that the error affects.  This is a long and manual process and only affects those ESI ID’s in the pilot.  Upon Market Open, this process may become unmanageable.  Odle discussed a proposed long-term solution that if the 814_04 rejects at the TDSP and the TDSP sends the 814_04 with a status of “Reject”, ERCOT would forward/generate the 814_05 to the CR with a status of “Reject” with the reject reason included. </w:t>
      </w:r>
      <w:r>
        <w:rPr>
          <w:rFonts w:cs="Times New Roman" w:ascii="Times New Roman" w:hAnsi="Times New Roman"/>
          <w:b/>
          <w:bCs/>
          <w:sz w:val="22"/>
        </w:rPr>
        <w:t xml:space="preserve"> A motion was made by Derek Mauzy and seconded by Ernest Godoy to approve the proposed solution as presented.  The motion was approved by a unanimous voice vote.</w:t>
      </w:r>
      <w:r>
        <w:rPr>
          <w:rFonts w:cs="Times New Roman" w:ascii="Times New Roman" w:hAnsi="Times New Roman"/>
          <w:sz w:val="22"/>
        </w:rPr>
        <w:t xml:space="preserve"> </w:t>
      </w:r>
    </w:p>
    <w:p>
      <w:pPr>
        <w:pStyle w:val="BodyText"/>
        <w:tabs>
          <w:tab w:val="clear" w:pos="0"/>
          <w:tab w:val="left" w:pos="-720" w:leader="none"/>
        </w:tabs>
        <w:suppressAutoHyphens w:val="false"/>
        <w:ind w:start="720" w:end="0"/>
        <w:rPr/>
      </w:pPr>
      <w:r>
        <w:rPr>
          <w:rFonts w:cs="Times New Roman" w:ascii="Times New Roman" w:hAnsi="Times New Roman"/>
        </w:rPr>
        <w:t xml:space="preserve"> </w:t>
      </w:r>
      <w:r>
        <w:rPr>
          <w:rFonts w:cs="Times New Roman" w:ascii="Times New Roman" w:hAnsi="Times New Roman"/>
          <w:b/>
          <w:bCs/>
        </w:rPr>
        <w:t xml:space="preserve"> </w:t>
      </w:r>
    </w:p>
    <w:p>
      <w:pPr>
        <w:pStyle w:val="Heading2"/>
        <w:tabs>
          <w:tab w:val="clear" w:pos="0"/>
          <w:tab w:val="left" w:pos="-720" w:leader="none"/>
        </w:tabs>
        <w:suppressAutoHyphens w:val="false"/>
        <w:ind w:hanging="0" w:start="0"/>
        <w:rPr>
          <w:rFonts w:ascii="Times New Roman" w:hAnsi="Times New Roman" w:cs="Times New Roman"/>
          <w:b/>
          <w:bCs/>
          <w:spacing w:val="0"/>
          <w:szCs w:val="24"/>
        </w:rPr>
      </w:pPr>
      <w:r>
        <w:rPr>
          <w:rFonts w:cs="Times New Roman" w:ascii="Times New Roman" w:hAnsi="Times New Roman"/>
          <w:b/>
          <w:bCs/>
          <w:spacing w:val="0"/>
          <w:szCs w:val="24"/>
        </w:rPr>
      </w:r>
    </w:p>
    <w:p>
      <w:pPr>
        <w:pStyle w:val="Heading2"/>
        <w:tabs>
          <w:tab w:val="clear" w:pos="0"/>
          <w:tab w:val="left" w:pos="-720" w:leader="none"/>
        </w:tabs>
        <w:suppressAutoHyphens w:val="false"/>
        <w:ind w:hanging="0" w:start="0"/>
        <w:rPr>
          <w:rFonts w:ascii="Times New Roman" w:hAnsi="Times New Roman" w:cs="Times New Roman"/>
          <w:spacing w:val="0"/>
          <w:szCs w:val="24"/>
        </w:rPr>
      </w:pPr>
      <w:r>
        <w:rPr>
          <w:rFonts w:cs="Times New Roman" w:ascii="Times New Roman" w:hAnsi="Times New Roman"/>
          <w:spacing w:val="0"/>
          <w:szCs w:val="24"/>
        </w:rPr>
        <w:t>New Items for RMS Consideration/Discussion</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t xml:space="preserve"> </w:t>
      </w:r>
    </w:p>
    <w:p>
      <w:pPr>
        <w:pStyle w:val="Heading2"/>
        <w:ind w:hanging="0" w:start="720" w:end="0"/>
        <w:rPr/>
      </w:pPr>
      <w:r>
        <w:rPr>
          <w:rFonts w:cs="Times New Roman" w:ascii="Times New Roman" w:hAnsi="Times New Roman"/>
        </w:rPr>
        <w:t>PRR 283, ERCOT Read Meter Data</w:t>
      </w:r>
      <w:r>
        <w:rPr>
          <w:rFonts w:cs="Times New Roman" w:ascii="Times New Roman" w:hAnsi="Times New Roman"/>
          <w:u w:val="none"/>
        </w:rPr>
        <w:t xml:space="preserve"> – Nancy Hetrick reported that the TAC had </w:t>
      </w:r>
      <w:r>
        <w:rPr>
          <w:rFonts w:cs="Times New Roman" w:ascii="Times New Roman" w:hAnsi="Times New Roman"/>
          <w:spacing w:val="0"/>
          <w:u w:val="none"/>
        </w:rPr>
        <w:t>remand</w:t>
      </w:r>
      <w:r>
        <w:rPr>
          <w:rFonts w:cs="Times New Roman" w:ascii="Times New Roman" w:hAnsi="Times New Roman"/>
          <w:u w:val="none"/>
        </w:rPr>
        <w:t>ed</w:t>
      </w:r>
      <w:r>
        <w:rPr>
          <w:rFonts w:cs="Times New Roman" w:ascii="Times New Roman" w:hAnsi="Times New Roman"/>
          <w:spacing w:val="0"/>
          <w:u w:val="none"/>
        </w:rPr>
        <w:t xml:space="preserve"> PRR 283 to the RMS for further discussion.</w:t>
      </w:r>
      <w:r>
        <w:rPr>
          <w:rFonts w:cs="Times New Roman" w:ascii="Times New Roman" w:hAnsi="Times New Roman"/>
          <w:u w:val="none"/>
        </w:rPr>
        <w:t xml:space="preserve"> The PRR changes PIP 204 to provide Market Participants Data for ERCOT populated ESI IDS via a data extract instead of 867_03 EDI transactions and add the requirement to provide Market Participants EPS Meter Recorder (RIDs) level data via a data extract.  The PRS recommended approval of PRR283 as submitted.</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t xml:space="preserve">There was discussion about whether the CRs would have to extract information from the Portal.  ERCOT noted that they would not.  For ERCOT Polled Load Settlement Meters, the TDSPs would receive the meter reads from an extract that can be scheduled on the Portal.  The TDSP would use the information to prepare the 867_03 that would be sent to the CRs.  James Cohea provided additional clarification.  ERCOT’s understanding is that this does not have any impact on the CRs or the way they would receive information from the TDSPs.  After discussing, the RMS was comfortable with the PRR as presented.  </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BodyText"/>
        <w:tabs>
          <w:tab w:val="clear" w:pos="0"/>
          <w:tab w:val="left" w:pos="-720" w:leader="none"/>
        </w:tabs>
        <w:suppressAutoHyphens w:val="false"/>
        <w:rPr>
          <w:rFonts w:ascii="Times New Roman" w:hAnsi="Times New Roman" w:cs="Times New Roman"/>
          <w:sz w:val="22"/>
          <w:szCs w:val="24"/>
        </w:rPr>
      </w:pPr>
      <w:r>
        <w:rPr>
          <w:rFonts w:cs="Times New Roman" w:ascii="Times New Roman" w:hAnsi="Times New Roman"/>
          <w:sz w:val="22"/>
          <w:szCs w:val="24"/>
        </w:rPr>
      </w:r>
    </w:p>
    <w:p>
      <w:pPr>
        <w:pStyle w:val="BodyText"/>
        <w:tabs>
          <w:tab w:val="clear" w:pos="0"/>
          <w:tab w:val="left" w:pos="-720" w:leader="none"/>
        </w:tabs>
        <w:suppressAutoHyphens w:val="false"/>
        <w:ind w:start="720" w:end="0"/>
        <w:rPr>
          <w:rFonts w:ascii="Times New Roman" w:hAnsi="Times New Roman" w:cs="Times New Roman"/>
          <w:szCs w:val="24"/>
        </w:rPr>
      </w:pPr>
      <w:r>
        <w:rPr>
          <w:rFonts w:cs="Times New Roman" w:ascii="Times New Roman" w:hAnsi="Times New Roman"/>
          <w:u w:val="single"/>
        </w:rPr>
        <w:t>POLR Drop Letter</w:t>
      </w:r>
      <w:r>
        <w:rPr>
          <w:rFonts w:cs="Times New Roman" w:ascii="Times New Roman" w:hAnsi="Times New Roman"/>
        </w:rPr>
        <w:t xml:space="preserve"> – Kyle Patrick discussed a scenario when a switch is sent in to ERCOT, is accepted by the TDSP, and is pending.  The current CR then sends an out of cycle drop to POLR, and since the drop occurs earlier, the switch is then cancelled.  The problem that exists is the customer has performed his or her duties fully, but due to the CR sending the drop out of cycle the customer is then dropped to the POLR.  The Protocols do allow the current CR to drop a customer to POLR off cycle.  The customer does not realize that the switch was cancelled and that they are with the POLR indefinitely.  The new CR may assume that either the customer rescinded or the customer was dropped to POLR.  If the new CR assumes that the customer rescinded, they lose the opportunity of being that customer's new CR.  If however the new CR assumes that the customer was dropped to POLR, this may be perceived as a customer protection violation.  Patrick discussed a proposed solution whereby the existing letter (Drop to POLR) that is sent to the customer is adjusted.  The attempt is to be preventative, instead of reactive, to the customer's problem.  The Drop to POLR letter should add new language to state the following, "You have the opportunity to choose another Retail Electric Provider.  If you choose to do so you must be enrolled as a customer with that Retail Electric Provider before the POLR effective date listed above."  </w:t>
      </w:r>
      <w:r>
        <w:rPr>
          <w:rFonts w:cs="Times New Roman" w:ascii="Times New Roman" w:hAnsi="Times New Roman"/>
          <w:b/>
          <w:bCs/>
        </w:rPr>
        <w:t>A motion was made by Vanus Priestley and seconded by Joe Vickers to approve the letter in concept, however, the proposed language above will be amended and presented to the RMS for approval at its next meeting.  The motion was approved by a unanimous voice vote.</w:t>
      </w:r>
    </w:p>
    <w:p>
      <w:pPr>
        <w:pStyle w:val="Normal"/>
        <w:ind w:start="720" w:end="0"/>
        <w:jc w:val="both"/>
        <w:rPr>
          <w:rFonts w:ascii="Times New Roman" w:hAnsi="Times New Roman" w:cs="Times New Roman"/>
          <w:sz w:val="22"/>
          <w:szCs w:val="24"/>
        </w:rPr>
      </w:pPr>
      <w:r>
        <w:rPr>
          <w:rFonts w:cs="Times New Roman" w:ascii="Times New Roman" w:hAnsi="Times New Roman"/>
          <w:sz w:val="22"/>
          <w:szCs w:val="24"/>
        </w:rPr>
      </w:r>
    </w:p>
    <w:p>
      <w:pPr>
        <w:pStyle w:val="Normal"/>
        <w:jc w:val="both"/>
        <w:rPr>
          <w:rFonts w:ascii="Times New Roman" w:hAnsi="Times New Roman" w:cs="Times New Roman"/>
          <w:sz w:val="22"/>
        </w:rPr>
      </w:pPr>
      <w:r>
        <w:rPr>
          <w:rFonts w:cs="Times New Roman" w:ascii="Times New Roman" w:hAnsi="Times New Roman"/>
          <w:sz w:val="22"/>
        </w:rPr>
      </w:r>
    </w:p>
    <w:p>
      <w:pPr>
        <w:pStyle w:val="BodyText"/>
        <w:tabs>
          <w:tab w:val="clear" w:pos="0"/>
          <w:tab w:val="left" w:pos="-720" w:leader="none"/>
        </w:tabs>
        <w:suppressAutoHyphens w:val="false"/>
        <w:ind w:start="720" w:end="0"/>
        <w:rPr>
          <w:rFonts w:ascii="Times New Roman" w:hAnsi="Times New Roman" w:cs="Times New Roman"/>
          <w:szCs w:val="24"/>
        </w:rPr>
      </w:pPr>
      <w:r>
        <w:rPr>
          <w:rFonts w:cs="Times New Roman" w:ascii="Times New Roman" w:hAnsi="Times New Roman"/>
          <w:u w:val="single"/>
        </w:rPr>
        <w:t>Temporary Meters</w:t>
      </w:r>
      <w:r>
        <w:rPr>
          <w:rFonts w:cs="Times New Roman" w:ascii="Times New Roman" w:hAnsi="Times New Roman"/>
        </w:rPr>
        <w:t xml:space="preserve"> – Kyle Patrick discussed a scenario when a temporary meter is set up and an ESI ID is assigned to that temporary meter.  When a customer's construction and/or maintenance is completed and they desire a move in, the customer calls their CR of choice.  The CR will look into the portal to see if an ESI ID is active at that address.  The CR does not know that this is a temporary meter.  A move in is issued and the customer is moved in on their desired date, but their meter remains the temporary meter.  The customer does not want a temporary meter; they desire a mounted meter at their residence.  The customer will have to call the CR and set up a new move in. Patrick discussed a proposed solution where there would need to be an agreement between Market Participants on a method that would allow for knowledge about a temporary meter's existence.  The Texas SET Guides would need to be adjusted to reflect this new design. This could be something as simple as putting the word "Temporary" in the street address or apartment number field.  Whatever the method, it would need to be approved by the Change Control Process. </w:t>
      </w:r>
      <w:r>
        <w:rPr>
          <w:rFonts w:cs="Times New Roman" w:ascii="Times New Roman" w:hAnsi="Times New Roman"/>
          <w:b/>
          <w:bCs/>
        </w:rPr>
        <w:t xml:space="preserve"> A motion was made by Brenda Crockett and seconded by Rudy Molleda to approve the proposed solution as presented.  The motion was approved by a unanimous voice vote.</w:t>
      </w:r>
    </w:p>
    <w:p>
      <w:pPr>
        <w:pStyle w:val="Normal"/>
        <w:ind w:start="720" w:end="0"/>
        <w:jc w:val="both"/>
        <w:rPr>
          <w:rFonts w:ascii="Times New Roman" w:hAnsi="Times New Roman" w:cs="Times New Roman"/>
          <w:sz w:val="22"/>
          <w:szCs w:val="24"/>
        </w:rPr>
      </w:pPr>
      <w:r>
        <w:rPr>
          <w:rFonts w:cs="Times New Roman" w:ascii="Times New Roman" w:hAnsi="Times New Roman"/>
          <w:sz w:val="22"/>
          <w:szCs w:val="24"/>
        </w:rPr>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u w:val="single"/>
        </w:rPr>
        <w:t>City of Coppell; REP Registration Fee; Customer Charge</w:t>
      </w:r>
      <w:r>
        <w:rPr>
          <w:rFonts w:cs="Times New Roman" w:ascii="Times New Roman" w:hAnsi="Times New Roman"/>
          <w:sz w:val="22"/>
        </w:rPr>
        <w:t xml:space="preserve"> – Walt Fenoglio briefly discussed that the City of Coppell had established a REP Registration Fee ($500) and Customer Charge ($10).  TXU is negotiating with the City of Coppell to reduce the fees.  TXU is filing an appeal.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start="720" w:end="0"/>
        <w:jc w:val="both"/>
        <w:rPr/>
      </w:pPr>
      <w:r>
        <w:rPr>
          <w:rFonts w:cs="Times New Roman" w:ascii="Times New Roman" w:hAnsi="Times New Roman"/>
          <w:sz w:val="22"/>
          <w:u w:val="single"/>
        </w:rPr>
        <w:t>Protocol Revision Request</w:t>
      </w:r>
      <w:r>
        <w:rPr>
          <w:rFonts w:cs="Times New Roman" w:ascii="Times New Roman" w:hAnsi="Times New Roman"/>
          <w:sz w:val="22"/>
        </w:rPr>
        <w:t xml:space="preserve"> – John Shaw discussed a proposed PRR related to Section 15.2.  Competitive Retailers (CRs) and Aggregators may obtain information from ERCOT to determine or to verify the ESI ID for a SDP using the Service Address.  CRs or Aggregators may also obtain information from ERCOT to determine or to verify the Service Address for a SDP using the ESI ID.  Thi</w:t>
      </w:r>
      <w:r>
        <w:rPr>
          <w:rFonts w:cs="Times New Roman" w:ascii="Times New Roman" w:hAnsi="Times New Roman"/>
        </w:rPr>
        <w:t>s look-up function will return S</w:t>
      </w:r>
      <w:r>
        <w:rPr>
          <w:rFonts w:cs="Times New Roman" w:ascii="Times New Roman" w:hAnsi="Times New Roman"/>
          <w:sz w:val="22"/>
        </w:rPr>
        <w:t>ervic</w:t>
      </w:r>
      <w:r>
        <w:rPr>
          <w:rFonts w:cs="Times New Roman" w:ascii="Times New Roman" w:hAnsi="Times New Roman"/>
        </w:rPr>
        <w:t>e Address,</w:t>
      </w:r>
      <w:r>
        <w:rPr>
          <w:rFonts w:cs="Times New Roman" w:ascii="Times New Roman" w:hAnsi="Times New Roman"/>
          <w:sz w:val="22"/>
        </w:rPr>
        <w:t xml:space="preserve"> meter read code, ESI ID, </w:t>
      </w:r>
      <w:r>
        <w:rPr>
          <w:rFonts w:cs="Times New Roman" w:ascii="Times New Roman" w:hAnsi="Times New Roman"/>
          <w:bCs/>
          <w:sz w:val="22"/>
        </w:rPr>
        <w:t>BUS-ID</w:t>
      </w:r>
      <w:r>
        <w:rPr>
          <w:rFonts w:cs="Times New Roman" w:ascii="Times New Roman" w:hAnsi="Times New Roman"/>
          <w:bCs/>
        </w:rPr>
        <w:t>,</w:t>
      </w:r>
      <w:r>
        <w:rPr>
          <w:rFonts w:cs="Times New Roman" w:ascii="Times New Roman" w:hAnsi="Times New Roman"/>
          <w:b/>
          <w:sz w:val="22"/>
        </w:rPr>
        <w:t xml:space="preserve"> </w:t>
      </w:r>
      <w:r>
        <w:rPr>
          <w:rFonts w:cs="Times New Roman" w:ascii="Times New Roman" w:hAnsi="Times New Roman"/>
          <w:sz w:val="22"/>
        </w:rPr>
        <w:t>and TDSP.  This lookup function is available through the MIS.</w:t>
      </w:r>
      <w:r>
        <w:rPr>
          <w:rFonts w:cs="Times New Roman" w:ascii="Times New Roman" w:hAnsi="Times New Roman"/>
        </w:rPr>
        <w:t xml:space="preserve">  </w:t>
      </w:r>
      <w:r>
        <w:rPr>
          <w:rFonts w:cs="Times New Roman" w:ascii="Times New Roman" w:hAnsi="Times New Roman"/>
          <w:sz w:val="22"/>
        </w:rPr>
        <w:t xml:space="preserve">CRs or Aggregators can also obtain information regarding the ESI IDs in a downloadable file.  This file will contain the above listed information.  This is intended to facilitate CRs or Aggregators incorporating the information into their database systems.  Currently there is no direct way for CRs to know exactly what Congestion Zone a customer resides in even if they know the ESI ID number.   The revision will allow for Competitive Retailers to associate ESI ID’s to Bus-ID and Bus-ID to Congestion Zones.  </w:t>
      </w:r>
      <w:r>
        <w:rPr>
          <w:rFonts w:cs="Times New Roman" w:ascii="Times New Roman" w:hAnsi="Times New Roman"/>
          <w:b/>
          <w:bCs/>
          <w:sz w:val="22"/>
        </w:rPr>
        <w:t>A motion was made by Vanus Priestley and seconded by Heidi Schrab to endorse the proposed PRR related to Protocols Section 15.2 as presented and forward to the PRS and TAC.  The motion was approved by a unanimous voice vote.</w:t>
      </w:r>
      <w:r>
        <w:rPr>
          <w:rFonts w:cs="Times New Roman" w:ascii="Times New Roman" w:hAnsi="Times New Roman"/>
          <w:sz w:val="22"/>
        </w:rPr>
        <w:t xml:space="preserve"> </w:t>
      </w:r>
    </w:p>
    <w:p>
      <w:pPr>
        <w:pStyle w:val="BodyText"/>
        <w:tabs>
          <w:tab w:val="clear" w:pos="0"/>
          <w:tab w:val="left" w:pos="-720" w:leader="none"/>
        </w:tabs>
        <w:suppressAutoHyphens w:val="false"/>
        <w:rPr>
          <w:rFonts w:ascii="Times New Roman" w:hAnsi="Times New Roman" w:cs="Times New Roman"/>
          <w:sz w:val="22"/>
          <w:szCs w:val="24"/>
        </w:rPr>
      </w:pPr>
      <w:r>
        <w:rPr>
          <w:rFonts w:cs="Times New Roman" w:ascii="Times New Roman" w:hAnsi="Times New Roman"/>
          <w:sz w:val="22"/>
          <w:szCs w:val="24"/>
        </w:rPr>
      </w:r>
    </w:p>
    <w:p>
      <w:pPr>
        <w:pStyle w:val="BodyText"/>
        <w:tabs>
          <w:tab w:val="clear" w:pos="0"/>
          <w:tab w:val="left" w:pos="-720" w:leader="none"/>
        </w:tabs>
        <w:suppressAutoHyphens w:val="false"/>
        <w:rPr>
          <w:rFonts w:ascii="Times New Roman" w:hAnsi="Times New Roman" w:cs="Times New Roman"/>
          <w:szCs w:val="24"/>
        </w:rPr>
      </w:pPr>
      <w:r>
        <w:rPr>
          <w:rFonts w:cs="Times New Roman" w:ascii="Times New Roman" w:hAnsi="Times New Roman"/>
          <w:szCs w:val="24"/>
        </w:rPr>
      </w:r>
    </w:p>
    <w:p>
      <w:pPr>
        <w:pStyle w:val="Heading2"/>
        <w:tabs>
          <w:tab w:val="clear" w:pos="0"/>
          <w:tab w:val="left" w:pos="-720" w:leader="none"/>
          <w:tab w:val="left" w:pos="2160" w:leader="none"/>
          <w:tab w:val="left" w:pos="4410" w:leader="none"/>
        </w:tabs>
        <w:ind w:hanging="0" w:start="0"/>
        <w:rPr>
          <w:rFonts w:ascii="Times New Roman" w:hAnsi="Times New Roman" w:cs="Times New Roman"/>
          <w:spacing w:val="0"/>
          <w:szCs w:val="24"/>
        </w:rPr>
      </w:pPr>
      <w:r>
        <w:rPr>
          <w:rFonts w:cs="Times New Roman" w:ascii="Times New Roman" w:hAnsi="Times New Roman"/>
          <w:spacing w:val="0"/>
          <w:szCs w:val="24"/>
        </w:rPr>
        <w:t>ITPTA Funding</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tabs>
          <w:tab w:val="clear" w:pos="720"/>
          <w:tab w:val="left" w:pos="-720" w:leader="none"/>
          <w:tab w:val="left" w:pos="2160" w:leader="none"/>
          <w:tab w:val="left" w:pos="4410" w:leader="none"/>
        </w:tabs>
        <w:suppressAutoHyphens w:val="true"/>
        <w:ind w:start="720" w:end="0"/>
        <w:jc w:val="both"/>
        <w:rPr>
          <w:rFonts w:ascii="Times New Roman" w:hAnsi="Times New Roman" w:cs="Times New Roman"/>
          <w:sz w:val="22"/>
        </w:rPr>
      </w:pPr>
      <w:r>
        <w:rPr>
          <w:rFonts w:cs="Times New Roman" w:ascii="Times New Roman" w:hAnsi="Times New Roman"/>
          <w:sz w:val="22"/>
        </w:rPr>
        <w:t xml:space="preserve">Nancy Hetrick reported that the TAC was unable to agree on ITPTA Funding.  The following three votes on funding failed at the TAC:  </w:t>
      </w:r>
    </w:p>
    <w:p>
      <w:pPr>
        <w:pStyle w:val="Normal"/>
        <w:tabs>
          <w:tab w:val="clear" w:pos="720"/>
          <w:tab w:val="left" w:pos="-720" w:leader="none"/>
          <w:tab w:val="left" w:pos="2160" w:leader="none"/>
          <w:tab w:val="left" w:pos="4410" w:leader="none"/>
        </w:tabs>
        <w:suppressAutoHyphens w:val="true"/>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5"/>
        </w:numPr>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t>Fund the ITPTA through the ERCOT Administrative Fee (general uplift).</w:t>
      </w:r>
    </w:p>
    <w:p>
      <w:pPr>
        <w:pStyle w:val="Normal"/>
        <w:numPr>
          <w:ilvl w:val="0"/>
          <w:numId w:val="5"/>
        </w:numPr>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t>The RMS recommendation granting an exception to small TDSPs.</w:t>
      </w:r>
    </w:p>
    <w:p>
      <w:pPr>
        <w:pStyle w:val="Normal"/>
        <w:numPr>
          <w:ilvl w:val="0"/>
          <w:numId w:val="5"/>
        </w:numPr>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t>The RMS recommendation and including the same exception for Option 2 REPs.</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 w:val="left" w:pos="2160" w:leader="none"/>
          <w:tab w:val="left" w:pos="4410" w:leader="none"/>
        </w:tabs>
        <w:suppressAutoHyphens w:val="true"/>
        <w:ind w:start="720" w:end="0"/>
        <w:jc w:val="both"/>
        <w:rPr/>
      </w:pPr>
      <w:r>
        <w:rPr>
          <w:rFonts w:cs="Times New Roman" w:ascii="Times New Roman" w:hAnsi="Times New Roman"/>
          <w:sz w:val="22"/>
        </w:rPr>
        <w:t xml:space="preserve">The TAC directed the RMS to review whether to grant an exception to Option 2 REPs and small CRs.  </w:t>
      </w:r>
      <w:r>
        <w:rPr>
          <w:rFonts w:cs="Times New Roman" w:ascii="Times New Roman" w:hAnsi="Times New Roman"/>
          <w:sz w:val="22"/>
          <w:szCs w:val="22"/>
        </w:rPr>
        <w:t xml:space="preserve">Under the current fee structure, TDSPs and CRs are assessed a testing fee of $75,000; QSEs are assessed a fee of $10,000.  </w:t>
      </w:r>
      <w:r>
        <w:rPr>
          <w:rFonts w:cs="Times New Roman" w:ascii="Times New Roman" w:hAnsi="Times New Roman"/>
          <w:b/>
          <w:bCs/>
          <w:sz w:val="22"/>
        </w:rPr>
        <w:t>A motion was made by Randy Jones and seconded by Walt Fenoglio to recommend</w:t>
      </w:r>
      <w:r>
        <w:rPr>
          <w:rFonts w:cs="Times New Roman" w:ascii="Times New Roman" w:hAnsi="Times New Roman"/>
          <w:b/>
          <w:bCs/>
          <w:sz w:val="22"/>
          <w:szCs w:val="22"/>
        </w:rPr>
        <w:t xml:space="preserve"> to the TAC that the original September 24</w:t>
      </w:r>
      <w:r>
        <w:rPr>
          <w:rFonts w:cs="Times New Roman" w:ascii="Times New Roman" w:hAnsi="Times New Roman"/>
          <w:b/>
          <w:bCs/>
          <w:sz w:val="22"/>
          <w:szCs w:val="22"/>
          <w:vertAlign w:val="superscript"/>
        </w:rPr>
        <w:t>th</w:t>
      </w:r>
      <w:r>
        <w:rPr>
          <w:rFonts w:cs="Times New Roman" w:ascii="Times New Roman" w:hAnsi="Times New Roman"/>
          <w:b/>
          <w:bCs/>
          <w:sz w:val="22"/>
          <w:szCs w:val="22"/>
        </w:rPr>
        <w:t xml:space="preserve"> RMS recommendation stand.   The motion was approved by a unanimous voice vote.    </w:t>
      </w:r>
      <w:r>
        <w:rPr>
          <w:rFonts w:cs="Times New Roman" w:ascii="Times New Roman" w:hAnsi="Times New Roman"/>
          <w:sz w:val="22"/>
        </w:rPr>
        <w:t xml:space="preserve">  </w:t>
      </w:r>
    </w:p>
    <w:p>
      <w:pPr>
        <w:pStyle w:val="Normal"/>
        <w:tabs>
          <w:tab w:val="clear" w:pos="720"/>
          <w:tab w:val="left" w:pos="-720" w:leader="none"/>
          <w:tab w:val="left" w:pos="2160" w:leader="none"/>
          <w:tab w:val="left" w:pos="4410" w:leader="none"/>
        </w:tabs>
        <w:suppressAutoHyphens w:val="true"/>
        <w:ind w:start="720" w:end="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b/>
          <w:bCs/>
          <w:sz w:val="22"/>
          <w:szCs w:val="22"/>
        </w:rPr>
      </w:pPr>
      <w:r>
        <w:rPr>
          <w:rFonts w:cs="Times New Roman" w:ascii="Times New Roman" w:hAnsi="Times New Roman"/>
          <w:b/>
          <w:bCs/>
          <w:sz w:val="22"/>
          <w:szCs w:val="22"/>
        </w:rPr>
      </w:r>
    </w:p>
    <w:p>
      <w:pPr>
        <w:pStyle w:val="Heading2"/>
        <w:tabs>
          <w:tab w:val="clear" w:pos="0"/>
          <w:tab w:val="left" w:pos="-720" w:leader="none"/>
          <w:tab w:val="left" w:pos="2160" w:leader="none"/>
          <w:tab w:val="left" w:pos="4410" w:leader="none"/>
        </w:tabs>
        <w:ind w:hanging="0" w:start="0"/>
        <w:rPr>
          <w:rFonts w:ascii="Times New Roman" w:hAnsi="Times New Roman" w:cs="Times New Roman"/>
          <w:spacing w:val="0"/>
          <w:szCs w:val="24"/>
        </w:rPr>
      </w:pPr>
      <w:r>
        <w:rPr>
          <w:rFonts w:cs="Times New Roman" w:ascii="Times New Roman" w:hAnsi="Times New Roman"/>
          <w:spacing w:val="0"/>
          <w:szCs w:val="24"/>
        </w:rPr>
        <w:t>Conversion to Version 1.4</w:t>
      </w:r>
    </w:p>
    <w:p>
      <w:pPr>
        <w:pStyle w:val="Normal"/>
        <w:tabs>
          <w:tab w:val="clear" w:pos="720"/>
          <w:tab w:val="left" w:pos="-720" w:leader="none"/>
          <w:tab w:val="left" w:pos="2160" w:leader="none"/>
          <w:tab w:val="left" w:pos="4410" w:leader="none"/>
        </w:tabs>
        <w:suppressAutoHyphens w:val="true"/>
        <w:jc w:val="both"/>
        <w:rPr>
          <w:rFonts w:ascii="Times New Roman" w:hAnsi="Times New Roman" w:cs="Times New Roman"/>
          <w:spacing w:val="0"/>
          <w:sz w:val="22"/>
          <w:szCs w:val="24"/>
        </w:rPr>
      </w:pPr>
      <w:r>
        <w:rPr>
          <w:rFonts w:cs="Times New Roman" w:ascii="Times New Roman" w:hAnsi="Times New Roman"/>
          <w:spacing w:val="0"/>
          <w:sz w:val="22"/>
          <w:szCs w:val="24"/>
        </w:rPr>
      </w:r>
    </w:p>
    <w:p>
      <w:pPr>
        <w:pStyle w:val="Normal"/>
        <w:tabs>
          <w:tab w:val="clear" w:pos="720"/>
          <w:tab w:val="left" w:pos="-720" w:leader="none"/>
          <w:tab w:val="left" w:pos="2160" w:leader="none"/>
          <w:tab w:val="left" w:pos="4410" w:leader="none"/>
        </w:tabs>
        <w:suppressAutoHyphens w:val="true"/>
        <w:ind w:start="720" w:end="0"/>
        <w:jc w:val="both"/>
        <w:rPr/>
      </w:pPr>
      <w:r>
        <w:rPr>
          <w:rFonts w:cs="Times New Roman" w:ascii="Times New Roman" w:hAnsi="Times New Roman"/>
          <w:sz w:val="22"/>
        </w:rPr>
        <w:t>Nancy Hetrick noted that an effort was underway to create an integrated planning calendar for the 1.4 Migration Plan and mass customer move from TDSPs to the Affiliated Retailer.  Tommy Weathersbee discussed TXU’s position and why TXU will not be ready to convert until late December.  Don Bender reported that the RMS sponsored a workshop on the 1.4 Migration Plan on October 16</w:t>
      </w:r>
      <w:r>
        <w:rPr>
          <w:rFonts w:cs="Times New Roman" w:ascii="Times New Roman" w:hAnsi="Times New Roman"/>
          <w:sz w:val="22"/>
          <w:vertAlign w:val="superscript"/>
        </w:rPr>
        <w:t>th</w:t>
      </w:r>
      <w:r>
        <w:rPr>
          <w:rFonts w:cs="Times New Roman" w:ascii="Times New Roman" w:hAnsi="Times New Roman"/>
          <w:sz w:val="22"/>
        </w:rPr>
        <w:t xml:space="preserve">.  </w:t>
      </w:r>
      <w:r>
        <w:rPr>
          <w:rFonts w:cs="Times New Roman" w:ascii="Times New Roman" w:hAnsi="Times New Roman"/>
          <w:color w:val="000000"/>
          <w:sz w:val="22"/>
        </w:rPr>
        <w:t xml:space="preserve">Bender presented and discussed the proposed planning calendar for December activities.  Key points on the calendar are </w:t>
      </w:r>
      <w:r>
        <w:rPr>
          <w:rFonts w:cs="Times New Roman" w:ascii="Times New Roman" w:hAnsi="Times New Roman"/>
          <w:sz w:val="22"/>
        </w:rPr>
        <w:t>as follows:</w:t>
      </w:r>
    </w:p>
    <w:p>
      <w:pPr>
        <w:pStyle w:val="Normal"/>
        <w:numPr>
          <w:ilvl w:val="0"/>
          <w:numId w:val="11"/>
        </w:numPr>
        <w:autoSpaceDE w:val="true"/>
        <w:jc w:val="both"/>
        <w:rPr>
          <w:rFonts w:ascii="Times New Roman" w:hAnsi="Times New Roman" w:eastAsia="Arial Unicode MS" w:cs="Times New Roman"/>
          <w:color w:val="000000"/>
          <w:sz w:val="22"/>
          <w:szCs w:val="28"/>
        </w:rPr>
      </w:pPr>
      <w:r>
        <w:rPr>
          <w:rFonts w:cs="Times New Roman" w:ascii="Times New Roman" w:hAnsi="Times New Roman"/>
          <w:color w:val="000000"/>
          <w:sz w:val="22"/>
          <w:szCs w:val="28"/>
        </w:rPr>
        <w:t>All CRs who will be participating in Texas Choice when the market opens in January 2002, ERCOT and all TDSPs, except TXU TDSP, will move their systems to Texas SET Version 1.4 during the weekend of December 22-23, 2001.</w:t>
      </w:r>
    </w:p>
    <w:p>
      <w:pPr>
        <w:pStyle w:val="Normal"/>
        <w:numPr>
          <w:ilvl w:val="0"/>
          <w:numId w:val="11"/>
        </w:numPr>
        <w:autoSpaceDE w:val="true"/>
        <w:jc w:val="both"/>
        <w:rPr>
          <w:rFonts w:ascii="Times New Roman" w:hAnsi="Times New Roman" w:eastAsia="Arial Unicode MS" w:cs="Times New Roman"/>
          <w:color w:val="000000"/>
          <w:sz w:val="22"/>
          <w:szCs w:val="28"/>
        </w:rPr>
      </w:pPr>
      <w:r>
        <w:rPr>
          <w:rFonts w:cs="Times New Roman" w:ascii="Times New Roman" w:hAnsi="Times New Roman"/>
          <w:color w:val="000000"/>
          <w:sz w:val="22"/>
          <w:szCs w:val="28"/>
        </w:rPr>
        <w:t>TXU TDSP will move their systems to Texas SET Version 1.4 during the weekend of December 29-30, 2001.</w:t>
      </w:r>
    </w:p>
    <w:p>
      <w:pPr>
        <w:pStyle w:val="Normal"/>
        <w:numPr>
          <w:ilvl w:val="0"/>
          <w:numId w:val="11"/>
        </w:numPr>
        <w:autoSpaceDE w:val="true"/>
        <w:jc w:val="both"/>
        <w:rPr>
          <w:rFonts w:ascii="Times New Roman" w:hAnsi="Times New Roman" w:eastAsia="Arial Unicode MS" w:cs="Times New Roman"/>
          <w:color w:val="000000"/>
          <w:sz w:val="22"/>
          <w:szCs w:val="28"/>
        </w:rPr>
      </w:pPr>
      <w:r>
        <w:rPr>
          <w:rFonts w:cs="Times New Roman" w:ascii="Times New Roman" w:hAnsi="Times New Roman"/>
          <w:color w:val="000000"/>
          <w:sz w:val="22"/>
          <w:szCs w:val="28"/>
        </w:rPr>
        <w:t>A moratorium on CRs submitting 814 transactions will occur between December 14, 2001 at 24:00 hours and January 1, 2002 at 24:00 hours.</w:t>
      </w:r>
    </w:p>
    <w:p>
      <w:pPr>
        <w:pStyle w:val="Normal"/>
        <w:numPr>
          <w:ilvl w:val="0"/>
          <w:numId w:val="11"/>
        </w:numPr>
        <w:autoSpaceDE w:val="true"/>
        <w:jc w:val="both"/>
        <w:rPr>
          <w:rFonts w:ascii="Times New Roman" w:hAnsi="Times New Roman" w:eastAsia="Arial Unicode MS" w:cs="Times New Roman"/>
          <w:color w:val="000000"/>
          <w:sz w:val="22"/>
          <w:szCs w:val="28"/>
        </w:rPr>
      </w:pPr>
      <w:r>
        <w:rPr>
          <w:rFonts w:cs="Times New Roman" w:ascii="Times New Roman" w:hAnsi="Times New Roman"/>
          <w:color w:val="000000"/>
          <w:sz w:val="22"/>
          <w:szCs w:val="28"/>
        </w:rPr>
        <w:t>All TDSPs except TXU TDSP cam begin sending 810’s and receiving 820’s using Version 1.4 on December 24, 2001 at 00:00:01 hours.</w:t>
      </w:r>
    </w:p>
    <w:p>
      <w:pPr>
        <w:pStyle w:val="Normal"/>
        <w:numPr>
          <w:ilvl w:val="0"/>
          <w:numId w:val="11"/>
        </w:numPr>
        <w:autoSpaceDE w:val="true"/>
        <w:jc w:val="both"/>
        <w:rPr>
          <w:rFonts w:ascii="Times New Roman" w:hAnsi="Times New Roman" w:eastAsia="Arial Unicode MS" w:cs="Times New Roman"/>
          <w:color w:val="000000"/>
          <w:sz w:val="22"/>
          <w:szCs w:val="28"/>
        </w:rPr>
      </w:pPr>
      <w:r>
        <w:rPr>
          <w:rFonts w:cs="Times New Roman" w:ascii="Times New Roman" w:hAnsi="Times New Roman"/>
          <w:color w:val="000000"/>
          <w:sz w:val="22"/>
          <w:szCs w:val="28"/>
        </w:rPr>
        <w:t xml:space="preserve">ERCOT will estimate the usage for TXU territory for December 21, 2001 through December 28, 2001. </w:t>
      </w:r>
    </w:p>
    <w:p>
      <w:pPr>
        <w:pStyle w:val="Normal"/>
        <w:jc w:val="both"/>
        <w:rPr>
          <w:rFonts w:ascii="Times New Roman" w:hAnsi="Times New Roman" w:eastAsia="Arial Unicode MS" w:cs="Times New Roman"/>
          <w:color w:val="000000"/>
          <w:sz w:val="22"/>
          <w:szCs w:val="28"/>
        </w:rPr>
      </w:pPr>
      <w:r>
        <w:rPr>
          <w:rFonts w:eastAsia="Arial Unicode MS" w:cs="Times New Roman" w:ascii="Times New Roman" w:hAnsi="Times New Roman"/>
          <w:color w:val="000000"/>
          <w:sz w:val="22"/>
          <w:szCs w:val="28"/>
        </w:rPr>
      </w:r>
    </w:p>
    <w:p>
      <w:pPr>
        <w:pStyle w:val="Normal"/>
        <w:ind w:start="720" w:end="0"/>
        <w:jc w:val="both"/>
        <w:rPr/>
      </w:pPr>
      <w:r>
        <w:rPr>
          <w:rFonts w:cs="Times New Roman" w:ascii="Times New Roman" w:hAnsi="Times New Roman"/>
          <w:color w:val="000000"/>
          <w:sz w:val="22"/>
        </w:rPr>
        <w:t xml:space="preserve">Connie Corona and Trish Dolese of the PUCT noted that the PUCT was not in favor of the plan because of the risks associated with the plan that would result in the market opening being delayed.  The PUCT would like to see additional production testing and a back-up plan.  Christine Meloro presented an additional conversion option for consideration.  </w:t>
      </w:r>
      <w:r>
        <w:rPr>
          <w:rFonts w:cs="Times New Roman" w:ascii="Times New Roman" w:hAnsi="Times New Roman"/>
          <w:b/>
          <w:bCs/>
          <w:color w:val="000000"/>
          <w:sz w:val="22"/>
        </w:rPr>
        <w:t>The RMS agreed to identify and quantify the risks, and develop a contingency plan.  An RMS Meeting was scheduled on October 31</w:t>
      </w:r>
      <w:r>
        <w:rPr>
          <w:rFonts w:cs="Times New Roman" w:ascii="Times New Roman" w:hAnsi="Times New Roman"/>
          <w:b/>
          <w:bCs/>
          <w:color w:val="000000"/>
          <w:sz w:val="22"/>
          <w:vertAlign w:val="superscript"/>
        </w:rPr>
        <w:t>st</w:t>
      </w:r>
      <w:r>
        <w:rPr>
          <w:rFonts w:cs="Times New Roman" w:ascii="Times New Roman" w:hAnsi="Times New Roman"/>
          <w:b/>
          <w:bCs/>
          <w:color w:val="000000"/>
          <w:sz w:val="22"/>
        </w:rPr>
        <w:t xml:space="preserve"> and November 1</w:t>
      </w:r>
      <w:r>
        <w:rPr>
          <w:rFonts w:cs="Times New Roman" w:ascii="Times New Roman" w:hAnsi="Times New Roman"/>
          <w:b/>
          <w:bCs/>
          <w:color w:val="000000"/>
          <w:sz w:val="22"/>
          <w:vertAlign w:val="superscript"/>
        </w:rPr>
        <w:t>st</w:t>
      </w:r>
      <w:r>
        <w:rPr>
          <w:rFonts w:cs="Times New Roman" w:ascii="Times New Roman" w:hAnsi="Times New Roman"/>
          <w:b/>
          <w:bCs/>
          <w:color w:val="000000"/>
          <w:sz w:val="22"/>
        </w:rPr>
        <w:t xml:space="preserve"> to discuss and attempt to resolve the Conversion to Version 1.4 Issue. </w:t>
      </w:r>
    </w:p>
    <w:p>
      <w:pPr>
        <w:pStyle w:val="Normal"/>
        <w:ind w:start="720" w:end="0"/>
        <w:jc w:val="both"/>
        <w:rPr>
          <w:rFonts w:ascii="Times New Roman" w:hAnsi="Times New Roman" w:cs="Times New Roman"/>
          <w:b/>
          <w:bCs/>
          <w:color w:val="000000"/>
          <w:sz w:val="22"/>
        </w:rPr>
      </w:pPr>
      <w:r>
        <w:rPr>
          <w:rFonts w:cs="Times New Roman" w:ascii="Times New Roman" w:hAnsi="Times New Roman"/>
          <w:b/>
          <w:bCs/>
          <w:color w:val="000000"/>
          <w:sz w:val="22"/>
        </w:rPr>
        <w:t xml:space="preserve">  </w:t>
      </w:r>
    </w:p>
    <w:p>
      <w:pPr>
        <w:pStyle w:val="Normal"/>
        <w:jc w:val="both"/>
        <w:rPr>
          <w:rFonts w:ascii="Times New Roman" w:hAnsi="Times New Roman" w:cs="Times New Roman"/>
          <w:b/>
          <w:bCs/>
          <w:color w:val="000000"/>
          <w:sz w:val="22"/>
          <w:u w:val="single"/>
        </w:rPr>
      </w:pPr>
      <w:r>
        <w:rPr>
          <w:rFonts w:cs="Times New Roman" w:ascii="Times New Roman" w:hAnsi="Times New Roman"/>
          <w:b/>
          <w:bCs/>
          <w:color w:val="000000"/>
          <w:sz w:val="22"/>
          <w:u w:val="single"/>
        </w:rPr>
      </w:r>
    </w:p>
    <w:p>
      <w:pPr>
        <w:pStyle w:val="Normal"/>
        <w:jc w:val="both"/>
        <w:rPr>
          <w:rFonts w:ascii="Times New Roman" w:hAnsi="Times New Roman" w:cs="Times New Roman"/>
          <w:sz w:val="22"/>
          <w:u w:val="single"/>
        </w:rPr>
      </w:pPr>
      <w:r>
        <w:rPr>
          <w:rFonts w:cs="Times New Roman" w:ascii="Times New Roman" w:hAnsi="Times New Roman"/>
          <w:sz w:val="22"/>
          <w:u w:val="single"/>
        </w:rPr>
        <w:t>Schedule Future RMS Meetings</w:t>
      </w:r>
    </w:p>
    <w:p>
      <w:pPr>
        <w:pStyle w:val="BodyTextIndent3"/>
        <w:ind w:hanging="0" w:start="0" w:end="0"/>
        <w:rPr>
          <w:rFonts w:ascii="Times New Roman" w:hAnsi="Times New Roman" w:cs="Times New Roman"/>
          <w:sz w:val="22"/>
          <w:u w:val="single"/>
        </w:rPr>
      </w:pPr>
      <w:r>
        <w:rPr>
          <w:rFonts w:cs="Times New Roman" w:ascii="Times New Roman" w:hAnsi="Times New Roman"/>
          <w:sz w:val="22"/>
          <w:u w:val="single"/>
        </w:rPr>
      </w:r>
    </w:p>
    <w:p>
      <w:pPr>
        <w:pStyle w:val="Normal"/>
        <w:ind w:start="720" w:end="0"/>
        <w:jc w:val="both"/>
        <w:rPr/>
      </w:pPr>
      <w:r>
        <w:rPr>
          <w:rFonts w:cs="Times New Roman" w:ascii="Times New Roman" w:hAnsi="Times New Roman"/>
          <w:b/>
          <w:bCs/>
          <w:sz w:val="22"/>
        </w:rPr>
        <w:t>The next regular RMS Meeting is scheduled for November 12, 2001 from 9:30 a.m. to 3:00 p.m. at the ERCOT Austin Offices.  Additional meetings are scheduled for November 28</w:t>
      </w:r>
      <w:r>
        <w:rPr>
          <w:rFonts w:cs="Times New Roman" w:ascii="Times New Roman" w:hAnsi="Times New Roman"/>
          <w:b/>
          <w:bCs/>
          <w:sz w:val="22"/>
          <w:vertAlign w:val="superscript"/>
        </w:rPr>
        <w:t>th</w:t>
      </w:r>
      <w:r>
        <w:rPr>
          <w:rFonts w:cs="Times New Roman" w:ascii="Times New Roman" w:hAnsi="Times New Roman"/>
          <w:b/>
          <w:bCs/>
          <w:sz w:val="22"/>
        </w:rPr>
        <w:t xml:space="preserve"> and December 11</w:t>
      </w:r>
      <w:r>
        <w:rPr>
          <w:rFonts w:cs="Times New Roman" w:ascii="Times New Roman" w:hAnsi="Times New Roman"/>
          <w:b/>
          <w:bCs/>
          <w:sz w:val="22"/>
          <w:vertAlign w:val="superscript"/>
        </w:rPr>
        <w:t>th</w:t>
      </w:r>
      <w:r>
        <w:rPr>
          <w:rFonts w:cs="Times New Roman" w:ascii="Times New Roman" w:hAnsi="Times New Roman"/>
          <w:b/>
          <w:bCs/>
          <w:sz w:val="22"/>
        </w:rPr>
        <w:t xml:space="preserve">.  </w:t>
      </w:r>
    </w:p>
    <w:p>
      <w:pPr>
        <w:pStyle w:val="BodyTextIndent3"/>
        <w:ind w:hanging="0" w:start="360" w:end="0"/>
        <w:rPr>
          <w:rFonts w:ascii="Times New Roman" w:hAnsi="Times New Roman" w:cs="Times New Roman"/>
          <w:b/>
          <w:bCs/>
          <w:sz w:val="22"/>
        </w:rPr>
      </w:pPr>
      <w:r>
        <w:rPr>
          <w:rFonts w:cs="Times New Roman" w:ascii="Times New Roman" w:hAnsi="Times New Roman"/>
          <w:b/>
          <w:bCs/>
          <w:sz w:val="22"/>
        </w:rPr>
      </w:r>
    </w:p>
    <w:p>
      <w:pPr>
        <w:pStyle w:val="Normal"/>
        <w:jc w:val="both"/>
        <w:rPr>
          <w:rFonts w:ascii="Times New Roman" w:hAnsi="Times New Roman" w:cs="Times New Roman"/>
          <w:b/>
          <w:spacing w:val="-3"/>
          <w:sz w:val="22"/>
        </w:rPr>
      </w:pPr>
      <w:r>
        <w:rPr>
          <w:rFonts w:cs="Times New Roman" w:ascii="Times New Roman" w:hAnsi="Times New Roman"/>
          <w:b/>
          <w:spacing w:val="-3"/>
          <w:sz w:val="22"/>
        </w:rPr>
      </w:r>
    </w:p>
    <w:p>
      <w:pPr>
        <w:pStyle w:val="Normal"/>
        <w:numPr>
          <w:ilvl w:val="0"/>
          <w:numId w:val="0"/>
        </w:numPr>
        <w:tabs>
          <w:tab w:val="clear" w:pos="720"/>
          <w:tab w:val="left" w:pos="-72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rPr>
        <w:t>There being no further business, the RMS Meeting was adjourned by Nancy Hetrick at 4:10 p.m. on October 25, 2001.</w:t>
      </w:r>
    </w:p>
    <w:p>
      <w:pPr>
        <w:pStyle w:val="Normal"/>
        <w:tabs>
          <w:tab w:val="left" w:pos="720" w:leader="none"/>
        </w:tabs>
        <w:ind w:start="72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sectPr>
      <w:headerReference w:type="default" r:id="rId3"/>
      <w:footerReference w:type="default" r:id="rId4"/>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11</w:t>
    </w:r>
    <w:r>
      <w:rPr>
        <w:rStyle w:val="PageNumber"/>
        <w:sz w:val="2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ind w:start="-180" w:end="0"/>
      <w:jc w:val="end"/>
      <w:rPr>
        <w:rFonts w:ascii="Times New Roman" w:hAnsi="Times New Roman" w:cs="Times New Roman"/>
        <w:b/>
        <w:bCs/>
        <w:spacing w:val="-3"/>
        <w:sz w:val="22"/>
        <w:u w:val="single"/>
      </w:rPr>
    </w:pPr>
    <w:r>
      <w:rPr>
        <w:rFonts w:cs="Times New Roman" w:ascii="Times New Roman" w:hAnsi="Times New Roman"/>
        <w:b/>
        <w:bCs/>
        <w:spacing w:val="-3"/>
        <w:sz w:val="22"/>
        <w:u w:val="single"/>
      </w:rPr>
      <w:t>APPROVED – 11/12/01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725"/>
        </w:tabs>
        <w:ind w:start="1725" w:hanging="360"/>
      </w:pPr>
      <w:rPr>
        <w:rFonts w:ascii="Symbol" w:hAnsi="Symbol" w:cs="Symbol" w:hint="default"/>
      </w:rPr>
    </w:lvl>
  </w:abstractNum>
  <w:abstractNum w:abstractNumId="3">
    <w:lvl w:ilvl="0">
      <w:start w:val="1"/>
      <w:numFmt w:val="upperLetter"/>
      <w:lvlText w:val="%1."/>
      <w:lvlJc w:val="start"/>
      <w:pPr>
        <w:tabs>
          <w:tab w:val="num" w:pos="1440"/>
        </w:tabs>
        <w:ind w:start="1440" w:hanging="360"/>
      </w:pPr>
    </w:lvl>
  </w:abstractNum>
  <w:abstractNum w:abstractNumId="4">
    <w:lvl w:ilvl="0">
      <w:start w:val="1"/>
      <w:numFmt w:val="bullet"/>
      <w:lvlText w:val=""/>
      <w:lvlJc w:val="start"/>
      <w:pPr>
        <w:tabs>
          <w:tab w:val="num" w:pos="1980"/>
        </w:tabs>
        <w:ind w:start="198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decimal"/>
      <w:lvlText w:val="%1."/>
      <w:lvlJc w:val="start"/>
      <w:pPr>
        <w:tabs>
          <w:tab w:val="num" w:pos="1800"/>
        </w:tabs>
        <w:ind w:start="1800" w:hanging="360"/>
      </w:p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9">
    <w:lvl w:ilvl="0">
      <w:start w:val="1"/>
      <w:numFmt w:val="bullet"/>
      <w:lvlText w:val="o"/>
      <w:lvlJc w:val="start"/>
      <w:pPr>
        <w:tabs>
          <w:tab w:val="num" w:pos="2160"/>
        </w:tabs>
        <w:ind w:start="2160" w:hanging="360"/>
      </w:pPr>
      <w:rPr>
        <w:rFonts w:ascii="Courier New" w:hAnsi="Courier New" w:cs="Courier New" w:hint="default"/>
      </w:rPr>
    </w:lvl>
    <w:lvl w:ilvl="1">
      <w:start w:val="1"/>
      <w:numFmt w:val="bullet"/>
      <w:lvlText w:val=""/>
      <w:lvlJc w:val="start"/>
      <w:pPr>
        <w:tabs>
          <w:tab w:val="num" w:pos="2880"/>
        </w:tabs>
        <w:ind w:start="2880" w:hanging="360"/>
      </w:pPr>
      <w:rPr>
        <w:rFonts w:ascii="Symbol" w:hAnsi="Symbol" w:cs="Symbol"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abstractNum w:abstractNumId="10">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1">
    <w:lvl w:ilvl="0">
      <w:start w:val="1"/>
      <w:numFmt w:val="bullet"/>
      <w:lvlText w:val=""/>
      <w:lvlJc w:val="start"/>
      <w:pPr>
        <w:tabs>
          <w:tab w:val="num" w:pos="1440"/>
        </w:tabs>
        <w:ind w:start="1440" w:hanging="360"/>
      </w:pPr>
      <w:rPr>
        <w:rFonts w:ascii="Symbol" w:hAnsi="Symbol" w:cs="Symbol" w:hint="default"/>
      </w:rPr>
    </w:lvl>
  </w:abstractNum>
  <w:abstractNum w:abstractNumId="12">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Courier New" w:hAnsi="Courier New" w:eastAsia="Times New Roman" w:cs="Courier New"/>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 w:val="left" w:pos="0" w:leader="none"/>
      </w:tabs>
      <w:suppressAutoHyphens w:val="true"/>
      <w:ind w:hanging="720" w:start="720" w:end="0"/>
      <w:jc w:val="both"/>
      <w:outlineLvl w:val="0"/>
    </w:pPr>
    <w:rPr>
      <w:spacing w:val="-3"/>
      <w:sz w:val="22"/>
      <w:szCs w:val="22"/>
      <w:u w:val="single"/>
    </w:rPr>
  </w:style>
  <w:style w:type="paragraph" w:styleId="Heading2">
    <w:name w:val="heading 2"/>
    <w:basedOn w:val="Normal"/>
    <w:next w:val="Normal"/>
    <w:qFormat/>
    <w:pPr>
      <w:keepNext w:val="true"/>
      <w:numPr>
        <w:ilvl w:val="1"/>
        <w:numId w:val="1"/>
      </w:numPr>
      <w:tabs>
        <w:tab w:val="clear" w:pos="720"/>
        <w:tab w:val="left" w:pos="-720" w:leader="none"/>
        <w:tab w:val="left" w:pos="0" w:leader="none"/>
      </w:tabs>
      <w:suppressAutoHyphens w:val="true"/>
      <w:jc w:val="both"/>
      <w:outlineLvl w:val="1"/>
    </w:pPr>
    <w:rPr>
      <w:rFonts w:cs="Courier New"/>
      <w:spacing w:val="-3"/>
      <w:sz w:val="22"/>
      <w:szCs w:val="22"/>
      <w:u w:val="single"/>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ind w:hanging="0" w:start="720" w:end="0"/>
      <w:jc w:val="both"/>
      <w:outlineLvl w:val="2"/>
    </w:pPr>
    <w:rPr>
      <w:rFonts w:cs="Courier New"/>
      <w:spacing w:val="-3"/>
      <w:sz w:val="22"/>
      <w:szCs w:val="22"/>
      <w:u w:val="single"/>
    </w:rPr>
  </w:style>
  <w:style w:type="paragraph" w:styleId="Heading4">
    <w:name w:val="heading 4"/>
    <w:basedOn w:val="Normal"/>
    <w:next w:val="Normal"/>
    <w:qFormat/>
    <w:pPr>
      <w:keepNext w:val="true"/>
      <w:numPr>
        <w:ilvl w:val="3"/>
        <w:numId w:val="1"/>
      </w:numPr>
      <w:tabs>
        <w:tab w:val="clear" w:pos="720"/>
        <w:tab w:val="center" w:pos="4680" w:leader="none"/>
      </w:tabs>
      <w:suppressAutoHyphens w:val="true"/>
      <w:jc w:val="center"/>
      <w:outlineLvl w:val="3"/>
    </w:pPr>
    <w:rPr>
      <w:rFonts w:cs="Courier New"/>
      <w:b/>
      <w:bCs/>
      <w:spacing w:val="-3"/>
      <w:sz w:val="22"/>
      <w:szCs w:val="22"/>
      <w:u w:val="single"/>
    </w:rPr>
  </w:style>
  <w:style w:type="paragraph" w:styleId="Heading5">
    <w:name w:val="heading 5"/>
    <w:basedOn w:val="Normal"/>
    <w:next w:val="Normal"/>
    <w:qFormat/>
    <w:pPr>
      <w:keepNext w:val="true"/>
      <w:numPr>
        <w:ilvl w:val="4"/>
        <w:numId w:val="1"/>
      </w:numPr>
      <w:outlineLvl w:val="4"/>
    </w:pPr>
    <w:rPr>
      <w:rFonts w:cs="Courier New"/>
      <w:u w:val="single"/>
    </w:rPr>
  </w:style>
  <w:style w:type="paragraph" w:styleId="Heading6">
    <w:name w:val="heading 6"/>
    <w:basedOn w:val="Normal"/>
    <w:next w:val="Normal"/>
    <w:qFormat/>
    <w:pPr>
      <w:keepNext w:val="true"/>
      <w:numPr>
        <w:ilvl w:val="5"/>
        <w:numId w:val="1"/>
      </w:numPr>
      <w:tabs>
        <w:tab w:val="clear" w:pos="720"/>
        <w:tab w:val="left" w:pos="-720" w:leader="none"/>
      </w:tabs>
      <w:suppressAutoHyphens w:val="true"/>
      <w:jc w:val="both"/>
      <w:outlineLvl w:val="5"/>
    </w:pPr>
    <w:rPr>
      <w:rFonts w:cs="Courier New"/>
      <w:u w:val="single"/>
    </w:rPr>
  </w:style>
  <w:style w:type="paragraph" w:styleId="Heading7">
    <w:name w:val="heading 7"/>
    <w:basedOn w:val="Normal"/>
    <w:next w:val="Normal"/>
    <w:qFormat/>
    <w:pPr>
      <w:keepNext w:val="true"/>
      <w:numPr>
        <w:ilvl w:val="6"/>
        <w:numId w:val="1"/>
      </w:numPr>
      <w:outlineLvl w:val="6"/>
    </w:pPr>
    <w:rPr>
      <w:rFonts w:cs="Courier New"/>
      <w:sz w:val="22"/>
      <w:szCs w:val="22"/>
      <w:u w:val="single"/>
    </w:rPr>
  </w:style>
  <w:style w:type="paragraph" w:styleId="Heading8">
    <w:name w:val="heading 8"/>
    <w:basedOn w:val="Normal"/>
    <w:next w:val="Normal"/>
    <w:qFormat/>
    <w:pPr>
      <w:keepNext w:val="true"/>
      <w:numPr>
        <w:ilvl w:val="7"/>
        <w:numId w:val="1"/>
      </w:numPr>
      <w:tabs>
        <w:tab w:val="clear" w:pos="720"/>
        <w:tab w:val="left" w:pos="-720" w:leader="none"/>
        <w:tab w:val="left" w:pos="0" w:leader="none"/>
      </w:tabs>
      <w:suppressAutoHyphens w:val="true"/>
      <w:jc w:val="both"/>
      <w:outlineLvl w:val="7"/>
    </w:pPr>
    <w:rPr>
      <w:rFonts w:cs="Courier New"/>
      <w:b/>
      <w:bCs/>
      <w:spacing w:val="-3"/>
      <w:sz w:val="22"/>
      <w:szCs w:val="22"/>
    </w:rPr>
  </w:style>
  <w:style w:type="paragraph" w:styleId="Heading9">
    <w:name w:val="heading 9"/>
    <w:basedOn w:val="Normal"/>
    <w:next w:val="Normal"/>
    <w:qFormat/>
    <w:pPr>
      <w:keepNext w:val="true"/>
      <w:numPr>
        <w:ilvl w:val="0"/>
        <w:numId w:val="3"/>
      </w:numPr>
      <w:tabs>
        <w:tab w:val="clear" w:pos="720"/>
        <w:tab w:val="left" w:pos="-720" w:leader="none"/>
        <w:tab w:val="left" w:pos="0" w:leader="none"/>
      </w:tabs>
      <w:suppressAutoHyphens w:val="true"/>
      <w:jc w:val="end"/>
      <w:outlineLvl w:val="8"/>
    </w:pPr>
    <w:rPr>
      <w:rFonts w:cs="Courier New"/>
      <w:b/>
      <w:bCs/>
      <w:spacing w:val="-3"/>
      <w:sz w:val="22"/>
      <w:szCs w:val="22"/>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Symbol" w:hAnsi="Symbol" w:cs="Symbol"/>
    </w:rPr>
  </w:style>
  <w:style w:type="character" w:styleId="WW8Num6z0">
    <w:name w:val="WW8Num6z0"/>
    <w:qFormat/>
    <w:rPr>
      <w:rFonts w:ascii="Symbol" w:hAnsi="Symbol" w:cs="Times New Roman"/>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3z0">
    <w:name w:val="WW8Num13z0"/>
    <w:qFormat/>
    <w:rPr>
      <w:rFonts w:ascii="Symbol" w:hAnsi="Symbol"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Times New Roman"/>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4">
    <w:name w:val="WW8Num19z4"/>
    <w:qFormat/>
    <w:rPr>
      <w:rFonts w:ascii="Courier New" w:hAnsi="Courier New" w:cs="Courier New"/>
    </w:rPr>
  </w:style>
  <w:style w:type="character" w:styleId="WW8Num19z5">
    <w:name w:val="WW8Num19z5"/>
    <w:qFormat/>
    <w:rPr>
      <w:rFonts w:ascii="Wingdings" w:hAnsi="Wingdings" w:cs="Wingdings"/>
    </w:rPr>
  </w:style>
  <w:style w:type="character" w:styleId="WW8Num20z0">
    <w:name w:val="WW8Num20z0"/>
    <w:qFormat/>
    <w:rPr>
      <w:rFonts w:ascii="Symbol" w:hAnsi="Symbol" w:cs="Symbol"/>
    </w:rPr>
  </w:style>
  <w:style w:type="character" w:styleId="WW8Num20z2">
    <w:name w:val="WW8Num20z2"/>
    <w:qFormat/>
    <w:rPr>
      <w:rFonts w:ascii="Wingdings" w:hAnsi="Wingdings" w:cs="Wingdings"/>
    </w:rPr>
  </w:style>
  <w:style w:type="character" w:styleId="WW8Num20z4">
    <w:name w:val="WW8Num20z4"/>
    <w:qFormat/>
    <w:rPr>
      <w:rFonts w:ascii="Courier New" w:hAnsi="Courier New" w:cs="Courier New"/>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Times New Roman"/>
    </w:rPr>
  </w:style>
  <w:style w:type="character" w:styleId="WW8Num30z0">
    <w:name w:val="WW8Num30z0"/>
    <w:qFormat/>
    <w:rPr>
      <w:rFonts w:ascii="Wingdings" w:hAnsi="Wingdings" w:cs="Wingdings"/>
      <w:sz w:val="20"/>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Symbol" w:hAnsi="Symbol" w:cs="Symbol"/>
      <w:color w:val="000000"/>
    </w:rPr>
  </w:style>
  <w:style w:type="character" w:styleId="WW8Num40z0">
    <w:name w:val="WW8Num40z0"/>
    <w:qFormat/>
    <w:rPr>
      <w:rFonts w:ascii="Wingdings" w:hAnsi="Wingdings" w:cs="Wingdings"/>
      <w:sz w:val="16"/>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Times New Roman"/>
    </w:rPr>
  </w:style>
  <w:style w:type="character" w:styleId="WW8Num50z1">
    <w:name w:val="WW8Num50z1"/>
    <w:qFormat/>
    <w:rPr>
      <w:rFonts w:ascii="Courier New" w:hAnsi="Courier New" w:cs="Courier New"/>
    </w:rPr>
  </w:style>
  <w:style w:type="character" w:styleId="WW8Num50z2">
    <w:name w:val="WW8Num50z2"/>
    <w:qFormat/>
    <w:rPr>
      <w:rFonts w:ascii="Wingdings" w:hAnsi="Wingdings" w:cs="Times New Roman"/>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Symbol" w:hAnsi="Symbol" w:cs="Times New Roman"/>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9z0">
    <w:name w:val="WW8Num59z0"/>
    <w:qFormat/>
    <w:rPr>
      <w:rFonts w:ascii="Symbol" w:hAnsi="Symbol" w:cs="Times New Roman"/>
    </w:rPr>
  </w:style>
  <w:style w:type="character" w:styleId="WW8Num59z1">
    <w:name w:val="WW8Num59z1"/>
    <w:qFormat/>
    <w:rPr>
      <w:rFonts w:ascii="Courier New" w:hAnsi="Courier New" w:cs="Courier New"/>
    </w:rPr>
  </w:style>
  <w:style w:type="character" w:styleId="WW8Num59z2">
    <w:name w:val="WW8Num59z2"/>
    <w:qFormat/>
    <w:rPr>
      <w:rFonts w:ascii="Wingdings" w:hAnsi="Wingdings" w:cs="Times New Roman"/>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4z0">
    <w:name w:val="WW8Num64z0"/>
    <w:qFormat/>
    <w:rPr>
      <w:rFonts w:ascii="Wingdings" w:hAnsi="Wingdings" w:cs="Wingdings"/>
      <w:sz w:val="16"/>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5">
    <w:name w:val="WW8Num65z5"/>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Times New Roman"/>
    </w:rPr>
  </w:style>
  <w:style w:type="character" w:styleId="WW8Num72z0">
    <w:name w:val="WW8Num72z0"/>
    <w:qFormat/>
    <w:rPr>
      <w:rFonts w:ascii="Symbol" w:hAnsi="Symbol" w:cs="Times New Roman"/>
    </w:rPr>
  </w:style>
  <w:style w:type="character" w:styleId="WW8Num74z1">
    <w:name w:val="WW8Num74z1"/>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color w:val="000000"/>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Times New Roman"/>
    </w:rPr>
  </w:style>
  <w:style w:type="character" w:styleId="WW8Num79z1">
    <w:name w:val="WW8Num79z1"/>
    <w:qFormat/>
    <w:rPr>
      <w:rFonts w:ascii="Courier New" w:hAnsi="Courier New" w:cs="Courier New"/>
    </w:rPr>
  </w:style>
  <w:style w:type="character" w:styleId="WW8Num79z2">
    <w:name w:val="WW8Num79z2"/>
    <w:qFormat/>
    <w:rPr>
      <w:rFonts w:ascii="Wingdings" w:hAnsi="Wingdings" w:cs="Times New Roman"/>
    </w:rPr>
  </w:style>
  <w:style w:type="character" w:styleId="WW8Num80z0">
    <w:name w:val="WW8Num80z0"/>
    <w:qFormat/>
    <w:rPr>
      <w:rFonts w:ascii="Symbol" w:hAnsi="Symbol" w:cs="Symbol"/>
      <w:color w:val="000000"/>
    </w:rPr>
  </w:style>
  <w:style w:type="character" w:styleId="WW8Num81z0">
    <w:name w:val="WW8Num81z0"/>
    <w:qFormat/>
    <w:rPr>
      <w:rFonts w:ascii="Symbol" w:hAnsi="Symbol" w:cs="Times New Roman"/>
    </w:rPr>
  </w:style>
  <w:style w:type="character" w:styleId="WW8Num82z0">
    <w:name w:val="WW8Num82z0"/>
    <w:qFormat/>
    <w:rPr>
      <w:rFonts w:ascii="Symbol" w:hAnsi="Symbol" w:cs="Times New Roman"/>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color w:val="000000"/>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000000"/>
    </w:rPr>
  </w:style>
  <w:style w:type="character" w:styleId="WW8Num87z0">
    <w:name w:val="WW8Num87z0"/>
    <w:qFormat/>
    <w:rPr>
      <w:rFonts w:ascii="Symbol" w:hAnsi="Symbol" w:cs="Symbol"/>
      <w:color w:val="000000"/>
    </w:rPr>
  </w:style>
  <w:style w:type="character" w:styleId="WW8Num88z0">
    <w:name w:val="WW8Num88z0"/>
    <w:qFormat/>
    <w:rPr>
      <w:rFonts w:ascii="Symbol" w:hAnsi="Symbol" w:cs="Symbol"/>
      <w:sz w:val="20"/>
    </w:rPr>
  </w:style>
  <w:style w:type="character" w:styleId="WW8Num88z1">
    <w:name w:val="WW8Num88z1"/>
    <w:qFormat/>
    <w:rPr>
      <w:rFonts w:ascii="Courier New" w:hAnsi="Courier New" w:cs="Courier New"/>
      <w:sz w:val="20"/>
    </w:rPr>
  </w:style>
  <w:style w:type="character" w:styleId="WW8Num88z2">
    <w:name w:val="WW8Num88z2"/>
    <w:qFormat/>
    <w:rPr>
      <w:rFonts w:ascii="Wingdings" w:hAnsi="Wingdings" w:cs="Wingdings"/>
      <w:sz w:val="20"/>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Times New Roman"/>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8z0">
    <w:name w:val="WW8Num98z0"/>
    <w:qFormat/>
    <w:rPr>
      <w:rFonts w:ascii="Symbol" w:hAnsi="Symbol" w:cs="Times New Roman"/>
    </w:rPr>
  </w:style>
  <w:style w:type="character" w:styleId="WW8Num98z1">
    <w:name w:val="WW8Num98z1"/>
    <w:qFormat/>
    <w:rPr>
      <w:rFonts w:ascii="Courier New" w:hAnsi="Courier New" w:cs="Courier New"/>
    </w:rPr>
  </w:style>
  <w:style w:type="character" w:styleId="WW8Num98z2">
    <w:name w:val="WW8Num98z2"/>
    <w:qFormat/>
    <w:rPr>
      <w:rFonts w:ascii="Wingdings" w:hAnsi="Wingdings" w:cs="Times New Roman"/>
    </w:rPr>
  </w:style>
  <w:style w:type="character" w:styleId="WW8Num99z0">
    <w:name w:val="WW8Num99z0"/>
    <w:qFormat/>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color w:val="auto"/>
    </w:rPr>
  </w:style>
  <w:style w:type="character" w:styleId="WW8Num102z0">
    <w:name w:val="WW8Num102z0"/>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Wingdings" w:hAnsi="Wingdings" w:cs="Wingdings"/>
    </w:rPr>
  </w:style>
  <w:style w:type="character" w:styleId="WW8Num104z4">
    <w:name w:val="WW8Num104z4"/>
    <w:qFormat/>
    <w:rPr>
      <w:rFonts w:ascii="Courier New" w:hAnsi="Courier New" w:cs="Courier New"/>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Courier New" w:hAnsi="Courier New" w:cs="Courier New"/>
    </w:rPr>
  </w:style>
  <w:style w:type="character" w:styleId="WW8Num107z1">
    <w:name w:val="WW8Num107z1"/>
    <w:qFormat/>
    <w:rPr>
      <w:rFonts w:ascii="Symbol" w:hAnsi="Symbol" w:cs="Symbol"/>
    </w:rPr>
  </w:style>
  <w:style w:type="character" w:styleId="WW8Num107z2">
    <w:name w:val="WW8Num107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000000"/>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Wingdings" w:hAnsi="Wingdings" w:cs="Wingdings"/>
      <w:sz w:val="16"/>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rFonts w:ascii="Symbol" w:hAnsi="Symbol" w:cs="Symbol"/>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1z0">
    <w:name w:val="WW8Num121z0"/>
    <w:qFormat/>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8z0">
    <w:name w:val="WW8Num128z0"/>
    <w:qFormat/>
    <w:rPr>
      <w:rFonts w:ascii="Symbol" w:hAnsi="Symbol" w:cs="Times New Roman"/>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Wingdings" w:hAnsi="Wingdings" w:cs="Wingdings"/>
    </w:rPr>
  </w:style>
  <w:style w:type="character" w:styleId="WW8Num131z1">
    <w:name w:val="WW8Num131z1"/>
    <w:qFormat/>
    <w:rPr>
      <w:rFonts w:ascii="Courier New" w:hAnsi="Courier New" w:cs="Courier New"/>
    </w:rPr>
  </w:style>
  <w:style w:type="character" w:styleId="WW8Num131z3">
    <w:name w:val="WW8Num131z3"/>
    <w:qFormat/>
    <w:rPr>
      <w:rFonts w:ascii="Symbol" w:hAnsi="Symbol" w:cs="Symbol"/>
    </w:rPr>
  </w:style>
  <w:style w:type="character" w:styleId="WW8Num133z0">
    <w:name w:val="WW8Num133z0"/>
    <w:qFormat/>
    <w:rPr>
      <w:rFonts w:ascii="Wingdings" w:hAnsi="Wingdings" w:cs="Wingdings"/>
      <w:sz w:val="16"/>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7z0">
    <w:name w:val="WW8Num137z0"/>
    <w:qFormat/>
    <w:rPr>
      <w:rFonts w:ascii="Symbol" w:hAnsi="Symbol" w:cs="Symbol"/>
      <w:color w:val="000000"/>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rFonts w:ascii="Symbol" w:hAnsi="Symbol" w:cs="Symbol"/>
    </w:rPr>
  </w:style>
  <w:style w:type="character" w:styleId="WW8Num140z0">
    <w:name w:val="WW8Num140z0"/>
    <w:qFormat/>
    <w:rPr>
      <w:rFonts w:ascii="Symbol" w:hAnsi="Symbol" w:cs="Times New Roman"/>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Times New Roman"/>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5z0">
    <w:name w:val="WW8Num145z0"/>
    <w:qFormat/>
    <w:rPr>
      <w:rFonts w:ascii="Symbol" w:hAnsi="Symbol" w:cs="Symbol"/>
      <w:color w:val="000000"/>
    </w:rPr>
  </w:style>
  <w:style w:type="character" w:styleId="WW8Num146z0">
    <w:name w:val="WW8Num146z0"/>
    <w:qFormat/>
    <w:rPr>
      <w:rFonts w:ascii="Symbol" w:hAnsi="Symbol" w:cs="Symbol"/>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Times New Roman"/>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Times New Roman"/>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Times New Roman"/>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0z0">
    <w:name w:val="WW8Num160z0"/>
    <w:qFormat/>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4z0">
    <w:name w:val="WW8Num164z0"/>
    <w:qFormat/>
    <w:rPr>
      <w:rFonts w:ascii="Symbol" w:hAnsi="Symbol" w:cs="Symbol"/>
    </w:rPr>
  </w:style>
  <w:style w:type="character" w:styleId="WW8Num165z0">
    <w:name w:val="WW8Num165z0"/>
    <w:qFormat/>
    <w:rPr>
      <w:rFonts w:ascii="Symbol" w:hAnsi="Symbol" w:cs="Times New Roman"/>
    </w:rPr>
  </w:style>
  <w:style w:type="character" w:styleId="WW8Num166z0">
    <w:name w:val="WW8Num166z0"/>
    <w:qFormat/>
    <w:rPr>
      <w:rFonts w:ascii="Symbol" w:hAnsi="Symbol" w:cs="Times New Roman"/>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Times New Roman"/>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color w:val="000000"/>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Times New Roman"/>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Times New Roma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tabs>
        <w:tab w:val="clear" w:pos="720"/>
        <w:tab w:val="center" w:pos="4680" w:leader="none"/>
      </w:tabs>
      <w:suppressAutoHyphens w:val="true"/>
      <w:jc w:val="center"/>
    </w:pPr>
    <w:rPr>
      <w:rFonts w:cs="Courier New"/>
      <w:b/>
      <w:bCs/>
      <w:spacing w:val="-3"/>
      <w:sz w:val="22"/>
      <w:szCs w:val="22"/>
      <w:u w:val="single"/>
    </w:rPr>
  </w:style>
  <w:style w:type="paragraph" w:styleId="BodyText">
    <w:name w:val="Body Text"/>
    <w:basedOn w:val="Normal"/>
    <w:pPr>
      <w:tabs>
        <w:tab w:val="clear" w:pos="720"/>
        <w:tab w:val="left" w:pos="-720" w:leader="none"/>
        <w:tab w:val="left" w:pos="0" w:leader="none"/>
      </w:tabs>
      <w:suppressAutoHyphens w:val="true"/>
      <w:jc w:val="both"/>
    </w:pPr>
    <w:rPr>
      <w:rFonts w:cs="Courier New"/>
      <w:sz w:val="22"/>
      <w:szCs w:val="22"/>
    </w:rPr>
  </w:style>
  <w:style w:type="paragraph" w:styleId="List">
    <w:name w:val="List"/>
    <w:basedOn w:val="Normal"/>
    <w:pPr>
      <w:autoSpaceDE w:val="true"/>
      <w:ind w:hanging="360" w:start="360" w:end="0"/>
    </w:pPr>
    <w:rPr>
      <w:rFonts w:ascii="Arial" w:hAnsi="Arial" w:cs="Arial"/>
      <w:sz w:val="20"/>
      <w:szCs w:val="20"/>
    </w:rPr>
  </w:style>
  <w:style w:type="paragraph" w:styleId="Caption">
    <w:name w:val="caption"/>
    <w:basedOn w:val="Normal"/>
    <w:next w:val="Normal"/>
    <w:qFormat/>
    <w:pPr/>
    <w:rPr>
      <w:rFonts w:cs="Courier New"/>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rFonts w:cs="Courier New"/>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rFonts w:cs="Courier New"/>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rFonts w:cs="Courier New"/>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rFonts w:cs="Courier New"/>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7">
    <w:name w:val="toc 7"/>
    <w:basedOn w:val="Normal"/>
    <w:next w:val="Normal"/>
    <w:pPr>
      <w:suppressAutoHyphens w:val="true"/>
      <w:ind w:hanging="720" w:start="720" w:end="0"/>
    </w:pPr>
    <w:rPr>
      <w:rFonts w:cs="Courier New"/>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rFonts w:cs="Courier New"/>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rFonts w:cs="Courier New"/>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rFonts w:cs="Courier New"/>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rFonts w:cs="Courier New"/>
    </w:rPr>
  </w:style>
  <w:style w:type="paragraph" w:styleId="TOAHeading">
    <w:name w:val="TOA Heading"/>
    <w:basedOn w:val="Normal"/>
    <w:next w:val="Normal"/>
    <w:qFormat/>
    <w:pPr>
      <w:tabs>
        <w:tab w:val="clear" w:pos="720"/>
        <w:tab w:val="left" w:pos="9000" w:leader="none"/>
        <w:tab w:val="right" w:pos="9360" w:leader="none"/>
      </w:tabs>
      <w:suppressAutoHyphens w:val="true"/>
    </w:pPr>
    <w:rPr>
      <w:rFonts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cs="Courier New"/>
    </w:rPr>
  </w:style>
  <w:style w:type="paragraph" w:styleId="Footer">
    <w:name w:val="footer"/>
    <w:basedOn w:val="Normal"/>
    <w:pPr>
      <w:tabs>
        <w:tab w:val="clear" w:pos="720"/>
        <w:tab w:val="center" w:pos="4320" w:leader="none"/>
        <w:tab w:val="right" w:pos="8640" w:leader="none"/>
      </w:tabs>
    </w:pPr>
    <w:rPr>
      <w:rFonts w:cs="Courier New"/>
    </w:rPr>
  </w:style>
  <w:style w:type="paragraph" w:styleId="BodyTextIndent">
    <w:name w:val="Body Text Indent"/>
    <w:basedOn w:val="Normal"/>
    <w:pPr>
      <w:spacing w:lineRule="atLeast" w:line="240"/>
    </w:pPr>
    <w:rPr>
      <w:rFonts w:cs="Courier New"/>
      <w:color w:val="000000"/>
      <w:sz w:val="22"/>
      <w:szCs w:val="22"/>
    </w:rPr>
  </w:style>
  <w:style w:type="paragraph" w:styleId="BodyTextIndent2">
    <w:name w:val="Body Text Indent 2"/>
    <w:basedOn w:val="Normal"/>
    <w:qFormat/>
    <w:pPr>
      <w:tabs>
        <w:tab w:val="clear" w:pos="720"/>
        <w:tab w:val="left" w:pos="-720" w:leader="none"/>
        <w:tab w:val="left" w:pos="0" w:leader="none"/>
      </w:tabs>
      <w:suppressAutoHyphens w:val="true"/>
      <w:ind w:hanging="720" w:start="0" w:end="0"/>
      <w:jc w:val="both"/>
    </w:pPr>
    <w:rPr>
      <w:rFonts w:cs="Courier New"/>
      <w:spacing w:val="-3"/>
      <w:sz w:val="22"/>
      <w:szCs w:val="22"/>
    </w:rPr>
  </w:style>
  <w:style w:type="paragraph" w:styleId="BodyTextIndent3">
    <w:name w:val="Body Text Indent 3"/>
    <w:basedOn w:val="Normal"/>
    <w:qFormat/>
    <w:pPr>
      <w:tabs>
        <w:tab w:val="clear" w:pos="720"/>
        <w:tab w:val="left" w:pos="-720" w:leader="none"/>
        <w:tab w:val="left" w:pos="0" w:leader="none"/>
      </w:tabs>
      <w:suppressAutoHyphens w:val="true"/>
      <w:ind w:hanging="720" w:start="720" w:end="0"/>
      <w:jc w:val="both"/>
    </w:pPr>
    <w:rPr>
      <w:rFonts w:cs="Courier New"/>
      <w:spacing w:val="-3"/>
      <w:sz w:val="22"/>
      <w:szCs w:val="22"/>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overflowPunct w:val="false"/>
      <w:jc w:val="both"/>
      <w:textAlignment w:val="baseline"/>
    </w:pPr>
    <w:rPr>
      <w:rFonts w:cs="Courier New"/>
      <w:sz w:val="22"/>
      <w:szCs w:val="22"/>
    </w:rPr>
  </w:style>
  <w:style w:type="paragraph" w:styleId="BlockText">
    <w:name w:val="Block Text"/>
    <w:basedOn w:val="Normal"/>
    <w:qFormat/>
    <w:pPr>
      <w:ind w:hanging="0" w:start="432" w:end="432"/>
      <w:jc w:val="both"/>
    </w:pPr>
    <w:rPr>
      <w:rFonts w:ascii="Times New Roman" w:hAnsi="Times New Roman" w:cs="Times New Roman"/>
      <w:sz w:val="22"/>
    </w:rPr>
  </w:style>
  <w:style w:type="paragraph" w:styleId="BodyText2">
    <w:name w:val="Body Text 2"/>
    <w:basedOn w:val="Normal"/>
    <w:qFormat/>
    <w:pPr>
      <w:tabs>
        <w:tab w:val="clear" w:pos="720"/>
        <w:tab w:val="center" w:pos="4680" w:leader="none"/>
      </w:tabs>
      <w:suppressAutoHyphens w:val="true"/>
      <w:jc w:val="center"/>
    </w:pPr>
    <w:rPr>
      <w:rFonts w:ascii="Times New Roman" w:hAnsi="Times New Roman" w:cs="Times New Roman"/>
      <w:b/>
      <w:spacing w:val="-3"/>
      <w:sz w:val="22"/>
    </w:rPr>
  </w:style>
  <w:style w:type="paragraph" w:styleId="InsideAddress">
    <w:name w:val="Inside Address"/>
    <w:basedOn w:val="Normal"/>
    <w:qFormat/>
    <w:pPr>
      <w:autoSpaceDE w:val="true"/>
      <w:spacing w:lineRule="atLeast" w:line="240"/>
    </w:pPr>
    <w:rPr>
      <w:rFonts w:ascii="Garamond" w:hAnsi="Garamond" w:cs="Garamond"/>
      <w:kern w:val="2"/>
      <w:sz w:val="20"/>
      <w:szCs w:val="20"/>
    </w:rPr>
  </w:style>
  <w:style w:type="paragraph" w:styleId="TableofFigures">
    <w:name w:val="Table of Figures"/>
    <w:basedOn w:val="Normal"/>
    <w:qFormat/>
    <w:pPr>
      <w:tabs>
        <w:tab w:val="clear" w:pos="720"/>
        <w:tab w:val="right" w:pos="10080" w:leader="dot"/>
      </w:tabs>
      <w:autoSpaceDE w:val="true"/>
      <w:spacing w:before="0" w:after="120"/>
      <w:ind w:hanging="360" w:start="360" w:end="0"/>
    </w:pPr>
    <w:rPr>
      <w:rFonts w:ascii="Garamond" w:hAnsi="Garamond" w:cs="Garamond"/>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bergman@ercot.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2001-11-15T18:10:00Z</dcterms:created>
  <dc:creator>Larry D. Grimm</dc:creator>
  <dc:description>        </dc:description>
  <dc:language>en-CA</dc:language>
  <cp:lastModifiedBy>Nancy Hetrick</cp:lastModifiedBy>
  <cp:lastPrinted>2001-08-20T08:28:00Z</cp:lastPrinted>
  <dcterms:modified xsi:type="dcterms:W3CDTF">2001-11-15T18:10:00Z</dcterms:modified>
  <cp:revision>2</cp:revision>
  <dc:subject/>
  <dc:title>_MINUTES OF THE ERCOT RETAIL MARKET SUBCOMMITTEE (RMS) MEETING</dc:title>
</cp:coreProperties>
</file>