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798" w:dyaOrig="17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9.9pt;height:86.3pt" filled="f" o:ole="">
            <v:imagedata r:id="rId3" o:title=""/>
          </v:shape>
          <o:OLEObject Type="Embed" ProgID="" ShapeID="ole_rId2" DrawAspect="Content" ObjectID="_963079938" r:id="rId2"/>
        </w:object>
      </w:r>
      <w:r>
        <w:rPr>
          <w:rFonts w:eastAsia="Arial"/>
        </w:rPr>
        <w:t xml:space="preserve"> </w:t>
      </w:r>
      <w:r>
        <mc:AlternateContent>
          <mc:Choice Requires="wps">
            <w:drawing>
              <wp:anchor behindDoc="0" distT="0" distB="0" distL="114935" distR="114935" simplePos="0" locked="0" layoutInCell="1" allowOverlap="1" relativeHeight="2">
                <wp:simplePos x="0" y="0"/>
                <wp:positionH relativeFrom="column">
                  <wp:posOffset>4316730</wp:posOffset>
                </wp:positionH>
                <wp:positionV relativeFrom="paragraph">
                  <wp:posOffset>53340</wp:posOffset>
                </wp:positionV>
                <wp:extent cx="1718310" cy="1006475"/>
                <wp:effectExtent l="0" t="0" r="0" b="0"/>
                <wp:wrapNone/>
                <wp:docPr id="1" name="Frame1"/>
                <a:graphic xmlns:a="http://schemas.openxmlformats.org/drawingml/2006/main">
                  <a:graphicData uri="http://schemas.microsoft.com/office/word/2010/wordprocessingShape">
                    <wps:wsp>
                      <wps:cNvSpPr txBox="1"/>
                      <wps:spPr>
                        <a:xfrm>
                          <a:off x="0" y="0"/>
                          <a:ext cx="1718310" cy="1006475"/>
                        </a:xfrm>
                        <a:prstGeom prst="rect"/>
                        <a:solidFill>
                          <a:srgbClr val="FFFFFF">
                            <a:alpha val="0"/>
                          </a:srgbClr>
                        </a:solidFill>
                      </wps:spPr>
                      <wps:txbx>
                        <w:txbxContent>
                          <w:p>
                            <w:pPr>
                              <w:pStyle w:val="Normal"/>
                              <w:keepNext w:val="true"/>
                              <w:keepLines/>
                              <w:rPr>
                                <w:rFonts w:ascii="Book Antiqua" w:hAnsi="Book Antiqua" w:cs="Book Antiqua"/>
                                <w:i/>
                                <w:i/>
                                <w:sz w:val="18"/>
                              </w:rPr>
                            </w:pPr>
                            <w:r>
                              <w:rPr>
                                <w:rFonts w:cs="Univers" w:ascii="Univers" w:hAnsi="Univers"/>
                                <w:b/>
                                <w:sz w:val="18"/>
                              </w:rPr>
                              <w:t>Enron Australia Pty. Limited</w:t>
                            </w:r>
                          </w:p>
                          <w:p>
                            <w:pPr>
                              <w:pStyle w:val="Normal"/>
                              <w:keepNext w:val="true"/>
                              <w:keepLines/>
                              <w:rPr/>
                            </w:pPr>
                            <w:r>
                              <w:rPr>
                                <w:rFonts w:cs="Albertus Extra Bold" w:ascii="Albertus Extra Bold" w:hAnsi="Albertus Extra Bold"/>
                                <w:b/>
                                <w:i/>
                                <w:sz w:val="16"/>
                              </w:rPr>
                              <w:br/>
                            </w:r>
                            <w:r>
                              <w:rPr>
                                <w:rFonts w:cs="Book Antiqua" w:ascii="Book Antiqua" w:hAnsi="Book Antiqua"/>
                                <w:i/>
                                <w:sz w:val="16"/>
                              </w:rPr>
                              <w:t>Level 21</w:t>
                            </w:r>
                          </w:p>
                          <w:p>
                            <w:pPr>
                              <w:pStyle w:val="Normal"/>
                              <w:keepNext w:val="true"/>
                              <w:keepLines/>
                              <w:rPr>
                                <w:rFonts w:ascii="Book Antiqua" w:hAnsi="Book Antiqua" w:cs="Book Antiqua"/>
                                <w:i/>
                                <w:i/>
                                <w:sz w:val="16"/>
                              </w:rPr>
                            </w:pPr>
                            <w:r>
                              <w:rPr>
                                <w:rFonts w:cs="Book Antiqua" w:ascii="Book Antiqua" w:hAnsi="Book Antiqua"/>
                                <w:i/>
                                <w:sz w:val="16"/>
                              </w:rPr>
                              <w:t>9 Castlereagh Street</w:t>
                            </w:r>
                          </w:p>
                          <w:p>
                            <w:pPr>
                              <w:pStyle w:val="Normal"/>
                              <w:keepNext w:val="true"/>
                              <w:keepLines/>
                              <w:rPr>
                                <w:rFonts w:ascii="Book Antiqua" w:hAnsi="Book Antiqua" w:cs="Book Antiqua"/>
                                <w:i/>
                                <w:i/>
                                <w:sz w:val="16"/>
                              </w:rPr>
                            </w:pPr>
                            <w:r>
                              <w:rPr>
                                <w:rFonts w:cs="Book Antiqua" w:ascii="Book Antiqua" w:hAnsi="Book Antiqua"/>
                                <w:i/>
                                <w:sz w:val="16"/>
                              </w:rPr>
                              <w:t>Sydney NSW 2000</w:t>
                            </w:r>
                          </w:p>
                          <w:p>
                            <w:pPr>
                              <w:pStyle w:val="Normal"/>
                              <w:keepNext w:val="true"/>
                              <w:keepLines/>
                              <w:rPr>
                                <w:rFonts w:ascii="Book Antiqua" w:hAnsi="Book Antiqua" w:cs="Book Antiqua"/>
                                <w:i/>
                                <w:i/>
                                <w:sz w:val="16"/>
                              </w:rPr>
                            </w:pPr>
                            <w:r>
                              <w:rPr>
                                <w:rFonts w:cs="Book Antiqua" w:ascii="Book Antiqua" w:hAnsi="Book Antiqua"/>
                                <w:i/>
                                <w:sz w:val="16"/>
                              </w:rPr>
                              <w:t>Australia</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Tel:</w:t>
                              <w:tab/>
                              <w:t>61 (02) 9229 2300</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Fax:</w:t>
                              <w:tab/>
                              <w:t>61 (02) 9229 2350</w:t>
                            </w:r>
                          </w:p>
                        </w:txbxContent>
                      </wps:txbx>
                      <wps:bodyPr anchor="t" lIns="13335" tIns="13335" rIns="13335" bIns="13335">
                        <a:noAutofit/>
                      </wps:bodyPr>
                    </wps:wsp>
                  </a:graphicData>
                </a:graphic>
              </wp:anchor>
            </w:drawing>
          </mc:Choice>
          <mc:Fallback>
            <w:pict>
              <v:rect fillcolor="#FFFFFF" style="position:absolute;rotation:-0;width:135.3pt;height:79.25pt;mso-wrap-distance-left:9.05pt;mso-wrap-distance-right:9.05pt;mso-wrap-distance-top:0pt;mso-wrap-distance-bottom:0pt;margin-top:4.2pt;mso-position-vertical-relative:text;margin-left:339.9pt;mso-position-horizontal-relative:text">
                <v:fill opacity="0f"/>
                <v:textbox inset="0.0145833333333333in,0.0145833333333333in,0.0145833333333333in,0.0145833333333333in">
                  <w:txbxContent>
                    <w:p>
                      <w:pPr>
                        <w:pStyle w:val="Normal"/>
                        <w:keepNext w:val="true"/>
                        <w:keepLines/>
                        <w:rPr>
                          <w:rFonts w:ascii="Book Antiqua" w:hAnsi="Book Antiqua" w:cs="Book Antiqua"/>
                          <w:i/>
                          <w:i/>
                          <w:sz w:val="18"/>
                        </w:rPr>
                      </w:pPr>
                      <w:r>
                        <w:rPr>
                          <w:rFonts w:cs="Univers" w:ascii="Univers" w:hAnsi="Univers"/>
                          <w:b/>
                          <w:sz w:val="18"/>
                        </w:rPr>
                        <w:t>Enron Australia Pty. Limited</w:t>
                      </w:r>
                    </w:p>
                    <w:p>
                      <w:pPr>
                        <w:pStyle w:val="Normal"/>
                        <w:keepNext w:val="true"/>
                        <w:keepLines/>
                        <w:rPr/>
                      </w:pPr>
                      <w:r>
                        <w:rPr>
                          <w:rFonts w:cs="Albertus Extra Bold" w:ascii="Albertus Extra Bold" w:hAnsi="Albertus Extra Bold"/>
                          <w:b/>
                          <w:i/>
                          <w:sz w:val="16"/>
                        </w:rPr>
                        <w:br/>
                      </w:r>
                      <w:r>
                        <w:rPr>
                          <w:rFonts w:cs="Book Antiqua" w:ascii="Book Antiqua" w:hAnsi="Book Antiqua"/>
                          <w:i/>
                          <w:sz w:val="16"/>
                        </w:rPr>
                        <w:t>Level 21</w:t>
                      </w:r>
                    </w:p>
                    <w:p>
                      <w:pPr>
                        <w:pStyle w:val="Normal"/>
                        <w:keepNext w:val="true"/>
                        <w:keepLines/>
                        <w:rPr>
                          <w:rFonts w:ascii="Book Antiqua" w:hAnsi="Book Antiqua" w:cs="Book Antiqua"/>
                          <w:i/>
                          <w:i/>
                          <w:sz w:val="16"/>
                        </w:rPr>
                      </w:pPr>
                      <w:r>
                        <w:rPr>
                          <w:rFonts w:cs="Book Antiqua" w:ascii="Book Antiqua" w:hAnsi="Book Antiqua"/>
                          <w:i/>
                          <w:sz w:val="16"/>
                        </w:rPr>
                        <w:t>9 Castlereagh Street</w:t>
                      </w:r>
                    </w:p>
                    <w:p>
                      <w:pPr>
                        <w:pStyle w:val="Normal"/>
                        <w:keepNext w:val="true"/>
                        <w:keepLines/>
                        <w:rPr>
                          <w:rFonts w:ascii="Book Antiqua" w:hAnsi="Book Antiqua" w:cs="Book Antiqua"/>
                          <w:i/>
                          <w:i/>
                          <w:sz w:val="16"/>
                        </w:rPr>
                      </w:pPr>
                      <w:r>
                        <w:rPr>
                          <w:rFonts w:cs="Book Antiqua" w:ascii="Book Antiqua" w:hAnsi="Book Antiqua"/>
                          <w:i/>
                          <w:sz w:val="16"/>
                        </w:rPr>
                        <w:t>Sydney NSW 2000</w:t>
                      </w:r>
                    </w:p>
                    <w:p>
                      <w:pPr>
                        <w:pStyle w:val="Normal"/>
                        <w:keepNext w:val="true"/>
                        <w:keepLines/>
                        <w:rPr>
                          <w:rFonts w:ascii="Book Antiqua" w:hAnsi="Book Antiqua" w:cs="Book Antiqua"/>
                          <w:i/>
                          <w:i/>
                          <w:sz w:val="16"/>
                        </w:rPr>
                      </w:pPr>
                      <w:r>
                        <w:rPr>
                          <w:rFonts w:cs="Book Antiqua" w:ascii="Book Antiqua" w:hAnsi="Book Antiqua"/>
                          <w:i/>
                          <w:sz w:val="16"/>
                        </w:rPr>
                        <w:t>Australia</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Tel:</w:t>
                        <w:tab/>
                        <w:t>61 (02) 9229 2300</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Fax:</w:t>
                        <w:tab/>
                        <w:t>61 (02) 9229 2350</w:t>
                      </w:r>
                    </w:p>
                  </w:txbxContent>
                </v:textbox>
                <w10:wrap type="none"/>
              </v:rect>
            </w:pict>
          </mc:Fallback>
        </mc:AlternateConten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Cs/>
          <w:sz w:val="22"/>
        </w:rPr>
      </w:pPr>
      <w:r>
        <w:rPr>
          <w:rFonts w:cs="Times New Roman" w:ascii="Times New Roman" w:hAnsi="Times New Roman"/>
          <w:bCs/>
          <w:sz w:val="22"/>
        </w:rPr>
        <w:t>27 November 2000</w:t>
      </w:r>
    </w:p>
    <w:p>
      <w:pPr>
        <w:pStyle w:val="Normal"/>
        <w:rPr>
          <w:rFonts w:ascii="Times New Roman" w:hAnsi="Times New Roman" w:cs="Times New Roman"/>
          <w:bCs/>
          <w:sz w:val="22"/>
        </w:rPr>
      </w:pPr>
      <w:r>
        <w:rPr>
          <w:rFonts w:cs="Times New Roman" w:ascii="Times New Roman" w:hAnsi="Times New Roman"/>
          <w:bCs/>
          <w:sz w:val="22"/>
        </w:rPr>
      </w:r>
    </w:p>
    <w:p>
      <w:pPr>
        <w:pStyle w:val="Normal"/>
        <w:rPr>
          <w:rFonts w:ascii="Times New Roman" w:hAnsi="Times New Roman" w:cs="Times New Roman"/>
          <w:bCs/>
          <w:sz w:val="22"/>
        </w:rPr>
      </w:pPr>
      <w:r>
        <w:rPr>
          <w:rFonts w:cs="Times New Roman" w:ascii="Times New Roman" w:hAnsi="Times New Roman"/>
          <w:bCs/>
          <w:sz w:val="22"/>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bCs/>
          <w:sz w:val="22"/>
        </w:rPr>
      </w:pPr>
      <w:r>
        <w:rPr>
          <w:rFonts w:cs="Times New Roman" w:ascii="Times New Roman" w:hAnsi="Times New Roman"/>
          <w:bCs/>
          <w:sz w:val="22"/>
        </w:rPr>
      </w:r>
    </w:p>
    <w:p>
      <w:pPr>
        <w:pStyle w:val="ListBullet"/>
        <w:numPr>
          <w:ilvl w:val="0"/>
          <w:numId w:val="0"/>
        </w:numPr>
        <w:ind w:hanging="0" w:start="0"/>
        <w:rPr>
          <w:sz w:val="22"/>
          <w:lang w:val="en-AU"/>
        </w:rPr>
      </w:pPr>
      <w:r>
        <w:rPr>
          <w:sz w:val="22"/>
          <w:lang w:val="en-AU"/>
        </w:rPr>
        <w:t>RMB Australia Limited</w:t>
      </w:r>
    </w:p>
    <w:p>
      <w:pPr>
        <w:pStyle w:val="ListBullet"/>
        <w:numPr>
          <w:ilvl w:val="0"/>
          <w:numId w:val="0"/>
        </w:numPr>
        <w:ind w:hanging="0" w:start="0"/>
        <w:rPr>
          <w:sz w:val="22"/>
          <w:lang w:val="en-AU"/>
        </w:rPr>
      </w:pPr>
      <w:r>
        <w:rPr>
          <w:sz w:val="22"/>
          <w:lang w:val="en-AU"/>
        </w:rPr>
        <w:t>Level 5</w:t>
      </w:r>
    </w:p>
    <w:p>
      <w:pPr>
        <w:pStyle w:val="ListBullet"/>
        <w:numPr>
          <w:ilvl w:val="0"/>
          <w:numId w:val="0"/>
        </w:numPr>
        <w:ind w:hanging="0" w:start="0"/>
        <w:rPr>
          <w:sz w:val="22"/>
          <w:lang w:val="en-AU"/>
        </w:rPr>
      </w:pPr>
      <w:r>
        <w:rPr>
          <w:sz w:val="22"/>
          <w:lang w:val="en-AU"/>
        </w:rPr>
        <w:t>Underwood House</w:t>
      </w:r>
    </w:p>
    <w:p>
      <w:pPr>
        <w:pStyle w:val="ListBullet"/>
        <w:numPr>
          <w:ilvl w:val="0"/>
          <w:numId w:val="0"/>
        </w:numPr>
        <w:ind w:hanging="0" w:start="0"/>
        <w:rPr>
          <w:sz w:val="22"/>
          <w:lang w:val="en-AU"/>
        </w:rPr>
      </w:pPr>
      <w:r>
        <w:rPr>
          <w:sz w:val="22"/>
          <w:lang w:val="en-AU"/>
        </w:rPr>
        <w:t>37-49 Pitt Street</w:t>
      </w:r>
    </w:p>
    <w:p>
      <w:pPr>
        <w:pStyle w:val="Header"/>
        <w:rPr>
          <w:rFonts w:ascii="Times New Roman" w:hAnsi="Times New Roman" w:cs="Times New Roman"/>
          <w:sz w:val="22"/>
          <w:lang w:val="en-AU"/>
        </w:rPr>
      </w:pPr>
      <w:r>
        <w:rPr>
          <w:rFonts w:cs="Times New Roman" w:ascii="Times New Roman" w:hAnsi="Times New Roman"/>
          <w:sz w:val="22"/>
          <w:lang w:val="en-AU"/>
        </w:rPr>
        <w:t>SYDNEY   NSW    2000</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b/>
          <w:sz w:val="22"/>
          <w:lang w:val="en-AU"/>
        </w:rPr>
      </w:pPr>
      <w:r>
        <w:rPr>
          <w:rFonts w:cs="Times New Roman" w:ascii="Times New Roman" w:hAnsi="Times New Roman"/>
          <w:sz w:val="22"/>
          <w:lang w:val="en-AU"/>
        </w:rPr>
        <w:t xml:space="preserve">Dear </w:t>
      </w:r>
      <w:r>
        <w:rPr>
          <w:rFonts w:cs="Times New Roman" w:ascii="Times New Roman" w:hAnsi="Times New Roman"/>
          <w:bCs/>
          <w:sz w:val="22"/>
          <w:lang w:val="en-AU"/>
        </w:rPr>
        <w:t>[  ]</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b/>
          <w:sz w:val="22"/>
          <w:lang w:val="en-AU"/>
        </w:rPr>
      </w:pPr>
      <w:r>
        <w:rPr>
          <w:rFonts w:cs="Times New Roman" w:ascii="Times New Roman" w:hAnsi="Times New Roman"/>
          <w:b/>
          <w:sz w:val="22"/>
          <w:lang w:val="en-AU"/>
        </w:rPr>
      </w:r>
    </w:p>
    <w:p>
      <w:pPr>
        <w:pStyle w:val="Normal"/>
        <w:jc w:val="both"/>
        <w:rPr/>
      </w:pPr>
      <w:r>
        <w:rPr>
          <w:rFonts w:cs="Times New Roman" w:ascii="Times New Roman" w:hAnsi="Times New Roman"/>
          <w:sz w:val="22"/>
          <w:lang w:val="en-AU"/>
        </w:rPr>
        <w:t xml:space="preserve">We refer to our recent preliminary discussions with you in connection with a potential transaction between us and/or our designated Affiliates (as defined in Section 2 below)  acquisition by </w:t>
      </w:r>
      <w:r>
        <w:rPr>
          <w:rFonts w:cs="Times New Roman" w:ascii="Times New Roman" w:hAnsi="Times New Roman"/>
          <w:b/>
          <w:bCs/>
          <w:sz w:val="22"/>
          <w:lang w:val="en-AU"/>
        </w:rPr>
        <w:t>Enron</w:t>
      </w:r>
      <w:r>
        <w:rPr>
          <w:rFonts w:cs="Times New Roman" w:ascii="Times New Roman" w:hAnsi="Times New Roman"/>
          <w:sz w:val="22"/>
          <w:lang w:val="en-AU"/>
        </w:rPr>
        <w:t xml:space="preserve"> of certain financial trading business activities of </w:t>
      </w:r>
      <w:r>
        <w:rPr>
          <w:rFonts w:cs="Times New Roman" w:ascii="Times New Roman" w:hAnsi="Times New Roman"/>
          <w:b/>
          <w:bCs/>
          <w:sz w:val="22"/>
          <w:lang w:val="en-AU"/>
        </w:rPr>
        <w:t>RMB</w:t>
      </w:r>
      <w:r>
        <w:rPr>
          <w:rFonts w:cs="Times New Roman" w:ascii="Times New Roman" w:hAnsi="Times New Roman"/>
          <w:sz w:val="22"/>
          <w:lang w:val="en-AU"/>
        </w:rPr>
        <w:t xml:space="preserve"> or its Affiliates as hereinafter defined (the </w:t>
      </w:r>
      <w:r>
        <w:rPr>
          <w:rFonts w:cs="Times New Roman" w:ascii="Times New Roman" w:hAnsi="Times New Roman"/>
          <w:b/>
          <w:sz w:val="22"/>
          <w:lang w:val="en-AU"/>
        </w:rPr>
        <w:t>"Transaction"</w:t>
      </w:r>
      <w:r>
        <w:rPr>
          <w:rFonts w:cs="Times New Roman" w:ascii="Times New Roman" w:hAnsi="Times New Roman"/>
          <w:sz w:val="22"/>
          <w:lang w:val="en-AU"/>
        </w:rPr>
        <w:t>). The Transaction is a potential transaction only and nothing in this letter imposes any obligation on either of our organisations or their Affiliates to proceed with any aspect of the Transaction.</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 xml:space="preserve">To take the Transaction to the next stage, however, you will need to provide us with certain information which is either confidential, proprietary or otherwise not generally available to the public in relation to the Transaction.  We propose that you will provide to us such information on the terms set out in this letter and upon our organisations signing a copy of this letter an Agreement will arise on the terms and conditions set out below (the Agreement). </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jc w:val="both"/>
        <w:rPr/>
      </w:pPr>
      <w:r>
        <w:rPr>
          <w:rFonts w:cs="Times New Roman" w:ascii="Times New Roman" w:hAnsi="Times New Roman"/>
          <w:sz w:val="22"/>
          <w:lang w:val="en-AU"/>
        </w:rPr>
        <w:t>For purposes of this Agreement, each of Enron Australia Pty Limited ACN 082 245 903, (</w:t>
      </w:r>
      <w:r>
        <w:rPr>
          <w:rFonts w:cs="Times New Roman" w:ascii="Times New Roman" w:hAnsi="Times New Roman"/>
          <w:b/>
          <w:sz w:val="22"/>
          <w:lang w:val="en-AU"/>
        </w:rPr>
        <w:t>"Enron"</w:t>
      </w:r>
      <w:r>
        <w:rPr>
          <w:rFonts w:cs="Times New Roman" w:ascii="Times New Roman" w:hAnsi="Times New Roman"/>
          <w:sz w:val="22"/>
          <w:lang w:val="en-AU"/>
        </w:rPr>
        <w:t>) and RMB Australia Limited</w:t>
      </w:r>
      <w:r>
        <w:rPr>
          <w:rFonts w:cs="Times New Roman" w:ascii="Times New Roman" w:hAnsi="Times New Roman"/>
        </w:rPr>
        <w:t xml:space="preserve"> </w:t>
      </w:r>
      <w:r>
        <w:rPr>
          <w:rFonts w:cs="Times New Roman" w:ascii="Times New Roman" w:hAnsi="Times New Roman"/>
          <w:caps/>
        </w:rPr>
        <w:t>ACN 003 298 477</w:t>
      </w:r>
      <w:r>
        <w:rPr>
          <w:rFonts w:cs="Times New Roman" w:ascii="Times New Roman" w:hAnsi="Times New Roman"/>
          <w:b/>
          <w:sz w:val="22"/>
          <w:lang w:val="en-AU"/>
        </w:rPr>
        <w:t xml:space="preserve"> </w:t>
      </w:r>
      <w:r>
        <w:rPr>
          <w:rFonts w:cs="Times New Roman" w:ascii="Times New Roman" w:hAnsi="Times New Roman"/>
          <w:sz w:val="22"/>
          <w:lang w:val="en-AU"/>
        </w:rPr>
        <w:t>(</w:t>
      </w:r>
      <w:r>
        <w:rPr>
          <w:rFonts w:cs="Times New Roman" w:ascii="Times New Roman" w:hAnsi="Times New Roman"/>
          <w:b/>
          <w:sz w:val="22"/>
          <w:lang w:val="en-AU"/>
        </w:rPr>
        <w:t>"RMB"</w:t>
      </w:r>
      <w:r>
        <w:rPr>
          <w:rFonts w:cs="Times New Roman" w:ascii="Times New Roman" w:hAnsi="Times New Roman"/>
          <w:sz w:val="22"/>
          <w:lang w:val="en-AU"/>
        </w:rPr>
        <w:t xml:space="preserve">) is a "Party". </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In consideration of you agreeing to provide to us the Confidential Information (as defined in Section 1), the Parties agree as follows:</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5"/>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Definition of "Confidential Information"</w:t>
      </w:r>
      <w:r>
        <w:rPr>
          <w:rFonts w:cs="Times New Roman" w:ascii="Times New Roman" w:hAnsi="Times New Roman"/>
          <w:sz w:val="22"/>
          <w:lang w:val="en-AU"/>
        </w:rPr>
        <w:t xml:space="preserve">.  The term "Confidential Information" shall mean all written information of the type described in the schedule marked "confidential" and furnished or made available by </w:t>
      </w:r>
      <w:r>
        <w:rPr>
          <w:rFonts w:cs="Times New Roman" w:ascii="Times New Roman" w:hAnsi="Times New Roman"/>
          <w:bCs/>
          <w:sz w:val="22"/>
          <w:lang w:val="en-AU"/>
        </w:rPr>
        <w:t xml:space="preserve">RMB to Enron subsequent to the date of this letter in connection with the Transaction  The following will not constitute Confidential Information for purposes of this Agreement:  (a) information which is or becomes publicly available other than as a result of a disclosure in violation of this Agreement;  (b) information which was already known to Enron prior to being furnished pursuant to this Agreement or which is subequently developed by Enron using its own knowledge and resources, and (c) information which becomes available on a nonconfidential basis from a source other than RMB, if such source was not subject to any prohibition against transmitting the information to Enron.  All Confidential Information shall remain the sole and exclusive property of RMB </w:t>
      </w:r>
      <w:r>
        <w:rPr>
          <w:rFonts w:cs="Times New Roman" w:ascii="Times New Roman" w:hAnsi="Times New Roman"/>
          <w:sz w:val="22"/>
          <w:lang w:val="en-AU"/>
        </w:rPr>
        <w:t>and shall be used only for the purposes stated herein and shall not be disclosed by Enron to any third party without the prior written consent of RMB, except: (a) to Enron's Representatives; and (b) where the disclosure is permitted under Section 4.</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4"/>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Nondisclosure of Confidential Information.</w:t>
      </w:r>
      <w:r>
        <w:rPr>
          <w:rFonts w:cs="Times New Roman" w:ascii="Times New Roman" w:hAnsi="Times New Roman"/>
          <w:sz w:val="22"/>
          <w:lang w:val="en-AU"/>
        </w:rPr>
        <w:t xml:space="preserve">  Enron shall use the Confidential Information solely in connection with an evaluation of the Transaction and shall not disclose the Confidential Information other than to its Representatives and other than as otherwise permitted under this Agreement. "Representatives" as used in this Agreement shall include directors, officers, employees, auditors, legal advisers, consultants, lenders and potential lenders, and Affiliates (as hereinafter defined) and such Affiliates' respective directors, officers, employees, auditors and legal advisers.  "Affiliate" as used in this Agreement shall include for any Party any person or entity that such Party controls, is controlled by or is under common control with such Party.  Enron shall ensure that:  (a) any of its Representatives receiving Confidential Information shall be informed of the obligation of nondisclosure pursuant to this Agreement; and (b) Enron shall be responsible for any breach of this Agreement by its Representatives.</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4"/>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Nondisclosure of Discussions.</w:t>
      </w:r>
      <w:r>
        <w:rPr>
          <w:rFonts w:cs="Times New Roman" w:ascii="Times New Roman" w:hAnsi="Times New Roman"/>
          <w:sz w:val="22"/>
          <w:lang w:val="en-AU"/>
        </w:rPr>
        <w:t xml:space="preserve">  Except as may be required by applicable law or stock exchange rules, without the prior written consent of the other Party, neither Party will, and  each Party will direct its Representatives not to, disclose to any person either the fact that Confidential Information has been made available to Enron or that Enron has inspected any portion of the Confidential Information, the fact that discussions with respect to the Transaction are taking place or other facts with respect to these discussions including the status thereof.</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4"/>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Compelled Disclosure.</w:t>
      </w:r>
      <w:r>
        <w:rPr>
          <w:rFonts w:cs="Times New Roman" w:ascii="Times New Roman" w:hAnsi="Times New Roman"/>
          <w:sz w:val="22"/>
          <w:lang w:val="en-AU"/>
        </w:rPr>
        <w:t xml:space="preserve">  The Parties acknowledge that Enron or any of its Representatives may disclose Confidential Information without breaching this Agreement where Enron or any of its Representatives is required (by law or the Listing Rules of a stock exchange) to disclose any Confidential Information, provided, however, that Enron has notified </w:t>
      </w:r>
      <w:r>
        <w:rPr>
          <w:rFonts w:cs="Times New Roman" w:ascii="Times New Roman" w:hAnsi="Times New Roman"/>
          <w:bCs/>
          <w:sz w:val="22"/>
          <w:lang w:val="en-AU"/>
        </w:rPr>
        <w:t>RMB</w:t>
      </w:r>
      <w:r>
        <w:rPr>
          <w:rFonts w:cs="Times New Roman" w:ascii="Times New Roman" w:hAnsi="Times New Roman"/>
          <w:sz w:val="22"/>
          <w:lang w:val="en-AU"/>
        </w:rPr>
        <w:t xml:space="preserve"> of such requirement so that </w:t>
      </w:r>
      <w:r>
        <w:rPr>
          <w:rFonts w:cs="Times New Roman" w:ascii="Times New Roman" w:hAnsi="Times New Roman"/>
          <w:bCs/>
          <w:sz w:val="22"/>
          <w:lang w:val="en-AU"/>
        </w:rPr>
        <w:t>RMB</w:t>
      </w:r>
      <w:r>
        <w:rPr>
          <w:rFonts w:cs="Times New Roman" w:ascii="Times New Roman" w:hAnsi="Times New Roman"/>
          <w:sz w:val="22"/>
          <w:lang w:val="en-AU"/>
        </w:rPr>
        <w:t xml:space="preserve"> may seek an injunction or appropriate protective order at its sole cost and expense.</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4"/>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Return of Information.</w:t>
      </w:r>
      <w:r>
        <w:rPr>
          <w:rFonts w:cs="Times New Roman" w:ascii="Times New Roman" w:hAnsi="Times New Roman"/>
          <w:sz w:val="22"/>
          <w:lang w:val="en-AU"/>
        </w:rPr>
        <w:t xml:space="preserve">  The written Confidential Information (except for that portion of the Confidential Information that may be found in analyses, compilations, studies or other documents prepared by Enron or its Representatives) will be returned promptly upon written request, and no copies shall be retained by Enron or its Representatives.  That portion of the Confidential Information that may be found in analyses, compilations, studies or other documents and Confidential Information not so requested or returned will be held and kept subject to the terms of this Agreement, or, upon written request, destroyed.</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4"/>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Term.</w:t>
      </w:r>
      <w:r>
        <w:rPr>
          <w:rFonts w:cs="Times New Roman" w:ascii="Times New Roman" w:hAnsi="Times New Roman"/>
          <w:sz w:val="22"/>
          <w:lang w:val="en-AU"/>
        </w:rPr>
        <w:t xml:space="preserve">  This Agreement shall be for a term of  6 months from the date first set forth above and this Agreement and the obligations it imposes shall expire automatically without further action by either Party at the end of such 6 months term. </w:t>
      </w:r>
    </w:p>
    <w:p>
      <w:pPr>
        <w:pStyle w:val="Normal"/>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0"/>
          <w:numId w:val="4"/>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b/>
          <w:sz w:val="22"/>
          <w:lang w:val="en-AU"/>
        </w:rPr>
      </w:pPr>
      <w:r>
        <w:rPr>
          <w:rFonts w:cs="Times New Roman" w:ascii="Times New Roman" w:hAnsi="Times New Roman"/>
          <w:b/>
          <w:sz w:val="22"/>
          <w:lang w:val="en-AU"/>
        </w:rPr>
        <w:t xml:space="preserve">Limitation on Discussions. </w:t>
      </w:r>
      <w:r>
        <w:rPr>
          <w:rFonts w:cs="Times New Roman" w:ascii="Times New Roman" w:hAnsi="Times New Roman"/>
          <w:bCs/>
          <w:sz w:val="22"/>
          <w:lang w:val="en-AU"/>
        </w:rPr>
        <w:t xml:space="preserve">For a period of 7 days from the date of this Agreement, RMB agrees not to enter into discussions with any other entity in respect of the possible sale or disposal by RMB of the trading business referred in the definition of Transaction in paragraph 1.    </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b/>
          <w:sz w:val="22"/>
          <w:lang w:val="en-AU"/>
        </w:rPr>
      </w:pPr>
      <w:r>
        <w:rPr>
          <w:rFonts w:cs="Times New Roman" w:ascii="Times New Roman" w:hAnsi="Times New Roman"/>
          <w:b/>
          <w:sz w:val="22"/>
          <w:lang w:val="en-AU"/>
        </w:rPr>
      </w:r>
    </w:p>
    <w:p>
      <w:pPr>
        <w:pStyle w:val="Normal"/>
        <w:numPr>
          <w:ilvl w:val="0"/>
          <w:numId w:val="4"/>
        </w:numPr>
        <w:tabs>
          <w:tab w:val="clear" w:pos="720"/>
          <w:tab w:val="left" w:pos="567"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Miscellaneous.</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ind w:hanging="630" w:start="630" w:end="0"/>
        <w:jc w:val="both"/>
        <w:rPr/>
      </w:pPr>
      <w:r>
        <w:rPr>
          <w:rFonts w:cs="Times New Roman" w:ascii="Times New Roman" w:hAnsi="Times New Roman"/>
          <w:bCs/>
          <w:sz w:val="22"/>
          <w:lang w:val="en-AU"/>
        </w:rPr>
        <w:t>8.1</w:t>
        <w:tab/>
      </w:r>
      <w:r>
        <w:rPr>
          <w:rFonts w:cs="Times New Roman" w:ascii="Times New Roman" w:hAnsi="Times New Roman"/>
          <w:b/>
          <w:sz w:val="22"/>
          <w:lang w:val="en-AU"/>
        </w:rPr>
        <w:t>No Waiver; No Broker; Right to Disclose.</w:t>
      </w:r>
      <w:r>
        <w:rPr>
          <w:rFonts w:cs="Times New Roman" w:ascii="Times New Roman" w:hAnsi="Times New Roman"/>
          <w:sz w:val="22"/>
          <w:lang w:val="en-AU"/>
        </w:rPr>
        <w:t xml:space="preserve">  No failure or delay in exercising any rights, power or privilege under this Agreement shall operate as a waiver of such rights, power or privilege, nor shall any single or partial exercise of such right, power or privilege preclude any other or further exercise of such right, power or privilege under this Agreement. Each Party represents that it has not employed any investment banker, broker, finder or intermediary in connection with the Transaction who might be entitled to a fee or any commission upon consummation of the transaction.  Each Party agrees to indemnify the other against any claims asserted against the other or any of its Representatives for any such fees or commissions by any person purporting to act or to have acted for or on behalf of such Party.  Notwithstanding anything in this Agreement to the contrary, RMB represents and warrants that RMB may rightfully disclose or make available the Confidential Information that it furnishes to Enron without the violation of any contractual, fiduciary, or other obligations to any person, and RMBagrees to indemnify and hold harmless in full Enron and Enron's Representatives against any and all damages, costs, and expenses of any nature whatsoever (including but not limited to legal advisers' fees) incurred by Enron or its Representatives in connection with the untruth of such representation or RMB breach of such warranty.</w:t>
      </w:r>
    </w:p>
    <w:p>
      <w:pPr>
        <w:pStyle w:val="Normal"/>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ind w:hanging="630" w:start="630" w:end="0"/>
        <w:jc w:val="both"/>
        <w:rPr/>
      </w:pPr>
      <w:r>
        <w:rPr>
          <w:rFonts w:cs="Times New Roman" w:ascii="Times New Roman" w:hAnsi="Times New Roman"/>
          <w:bCs/>
          <w:sz w:val="22"/>
          <w:lang w:val="en-AU"/>
        </w:rPr>
        <w:t>8.2</w:t>
        <w:tab/>
      </w:r>
      <w:r>
        <w:rPr>
          <w:rFonts w:cs="Times New Roman" w:ascii="Times New Roman" w:hAnsi="Times New Roman"/>
          <w:b/>
          <w:sz w:val="22"/>
          <w:lang w:val="en-AU"/>
        </w:rPr>
        <w:t>Limitations.</w:t>
      </w:r>
      <w:r>
        <w:rPr>
          <w:rFonts w:cs="Times New Roman" w:ascii="Times New Roman" w:hAnsi="Times New Roman"/>
          <w:sz w:val="22"/>
          <w:lang w:val="en-AU"/>
        </w:rPr>
        <w:t xml:space="preserve">  No representation or warranty is made as to the accuracy or completeness of any Confidential Information that is the subject of this Agreement, and neither </w:t>
      </w:r>
      <w:r>
        <w:rPr>
          <w:rFonts w:cs="Times New Roman" w:ascii="Times New Roman" w:hAnsi="Times New Roman"/>
          <w:bCs/>
          <w:sz w:val="22"/>
          <w:lang w:val="en-AU"/>
        </w:rPr>
        <w:t>RMB</w:t>
      </w:r>
      <w:r>
        <w:rPr>
          <w:rFonts w:cs="Times New Roman" w:ascii="Times New Roman" w:hAnsi="Times New Roman"/>
          <w:sz w:val="22"/>
          <w:lang w:val="en-AU"/>
        </w:rPr>
        <w:t xml:space="preserve"> nor its Representatives shall have any liability resulting from the use of such information by Enron or its Representatives</w:t>
      </w:r>
      <w:r>
        <w:rPr>
          <w:rFonts w:cs="Times New Roman" w:ascii="Times New Roman" w:hAnsi="Times New Roman"/>
          <w:i/>
          <w:sz w:val="22"/>
          <w:lang w:val="en-AU"/>
        </w:rPr>
        <w:t>.</w:t>
      </w:r>
      <w:r>
        <w:rPr>
          <w:rFonts w:cs="Times New Roman" w:ascii="Times New Roman" w:hAnsi="Times New Roman"/>
          <w:sz w:val="22"/>
          <w:lang w:val="en-AU"/>
        </w:rPr>
        <w:t xml:space="preserve">  Neither Party shall be liable in an action initiated by one against the other for indirect or consequential losses or damages, resulting from or arising out of this Agreement, including, without limitation, loss of profit or business interruptions, however same may be caused.  The Parties agree that no employment, agency, joint venture, partnership or fiduciary relationship shall be deemed to exist or arise under this Agreement or with respect to the Transaction.</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numPr>
          <w:ilvl w:val="1"/>
          <w:numId w:val="3"/>
        </w:numPr>
        <w:tabs>
          <w:tab w:val="clear" w:pos="720"/>
          <w:tab w:val="left" w:pos="0"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b/>
          <w:sz w:val="22"/>
          <w:lang w:val="en-AU"/>
        </w:rPr>
        <w:t>Jurisdiction and Governing Law.</w:t>
      </w:r>
      <w:r>
        <w:rPr>
          <w:rFonts w:cs="Times New Roman" w:ascii="Times New Roman" w:hAnsi="Times New Roman"/>
          <w:sz w:val="22"/>
          <w:lang w:val="en-AU"/>
        </w:rPr>
        <w:t xml:space="preserve">   This Agreement shall be governed by, and construed, interpreted and enforced in accordance with, the substantive law of New South Wales.  The parties each agree that any action or proceeding arising out of or  related in any way to this Agreement shall be brought solely in a court of competent jurisdiction in New South Wales.  The Parties irrevocably and unconditionally submit to the non-exclusive jurisdiction of such court and hereby irrevocably and unconditionally waive any defence of an inconvenient forum to the maintenance of any action or proceeding and any right of jurisdiction on account of the place of residence or domicile of any Party thereto.</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pPr>
      <w:r>
        <w:rPr>
          <w:rFonts w:cs="Times New Roman" w:ascii="Times New Roman" w:hAnsi="Times New Roman"/>
          <w:sz w:val="22"/>
          <w:lang w:val="en-AU"/>
        </w:rPr>
        <w:t>8.4</w:t>
        <w:tab/>
      </w:r>
      <w:r>
        <w:rPr>
          <w:rFonts w:cs="Times New Roman" w:ascii="Times New Roman" w:hAnsi="Times New Roman"/>
          <w:b/>
          <w:bCs/>
          <w:sz w:val="22"/>
          <w:lang w:val="en-AU"/>
        </w:rPr>
        <w:t>Amendment.</w:t>
      </w:r>
      <w:r>
        <w:rPr>
          <w:rFonts w:cs="Times New Roman" w:ascii="Times New Roman" w:hAnsi="Times New Roman"/>
          <w:sz w:val="22"/>
          <w:lang w:val="en-AU"/>
        </w:rPr>
        <w:tab/>
        <w:t>This Agreement may be amended only by an Agreement among the Parties in writing.</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 xml:space="preserve">If RMB agrees to the terms and conditions above, please arrange for this copy of the letter to be signed and returned to us.  The attached copy of this letter, which has been signed by Enron, can be retained by you for inclusion in your records.  </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Yours sincerely,</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Paul Quilkey</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Managing Director</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t>Enron Australia Pty. Ltd.</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sz w:val="22"/>
          <w:lang w:val="en-AU"/>
        </w:rPr>
      </w:pPr>
      <w:r>
        <w:rPr>
          <w:rFonts w:cs="Times New Roman" w:ascii="Times New Roman" w:hAnsi="Times New Roman"/>
          <w:sz w:val="22"/>
          <w:lang w:val="en-AU"/>
        </w:rPr>
      </w:r>
    </w:p>
    <w:p>
      <w:pPr>
        <w:pStyle w:val="Normal"/>
        <w:rPr>
          <w:rFonts w:ascii="Times New Roman" w:hAnsi="Times New Roman" w:cs="Times New Roman"/>
          <w:sz w:val="22"/>
          <w:lang w:val="en-AU"/>
        </w:rPr>
      </w:pPr>
      <w:r>
        <w:rPr>
          <w:rFonts w:cs="Times New Roman" w:ascii="Times New Roman" w:hAnsi="Times New Roman"/>
          <w:sz w:val="22"/>
          <w:lang w:val="en-AU"/>
        </w:rPr>
        <w:t xml:space="preserve">Signed by </w:t>
      </w:r>
      <w:r>
        <w:rPr>
          <w:rFonts w:cs="Times New Roman" w:ascii="Times New Roman" w:hAnsi="Times New Roman"/>
          <w:b/>
          <w:sz w:val="22"/>
        </w:rPr>
        <w:t>RMB Australia Limited</w:t>
      </w:r>
      <w:r>
        <w:rPr>
          <w:rFonts w:cs="Times New Roman" w:ascii="Times New Roman" w:hAnsi="Times New Roman"/>
          <w:sz w:val="22"/>
        </w:rPr>
        <w:b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center" w:pos="5088" w:leader="dot"/>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t xml:space="preserve">by: </w:t>
        <w:tab/>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ind w:start="2018" w:end="0"/>
        <w:rPr>
          <w:rFonts w:ascii="Times New Roman" w:hAnsi="Times New Roman" w:cs="Times New Roman"/>
          <w:sz w:val="22"/>
          <w:lang w:val="en-AU"/>
        </w:rPr>
      </w:pPr>
      <w:r>
        <w:rPr>
          <w:rFonts w:cs="Times New Roman" w:ascii="Times New Roman" w:hAnsi="Times New Roman"/>
          <w:sz w:val="22"/>
          <w:lang w:val="en-AU"/>
        </w:rPr>
        <w:t>(Signature)</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center" w:pos="5088" w:leader="dot"/>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t xml:space="preserve">Name: </w:t>
        <w:tab/>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center" w:pos="5088" w:leader="dot"/>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t xml:space="preserve">Title: </w:t>
        <w:tab/>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rPr>
          <w:rFonts w:ascii="Times New Roman" w:hAnsi="Times New Roman" w:cs="Times New Roman"/>
          <w:sz w:val="22"/>
          <w:lang w:val="en-AU"/>
        </w:rPr>
      </w:pPr>
      <w:r>
        <w:rPr>
          <w:rFonts w:cs="Times New Roman" w:ascii="Times New Roman" w:hAnsi="Times New Roman"/>
          <w:sz w:val="22"/>
          <w:lang w:val="en-AU"/>
        </w:rPr>
      </w:r>
    </w:p>
    <w:p>
      <w:pPr>
        <w:pStyle w:val="Normal"/>
        <w:tabs>
          <w:tab w:val="clear" w:pos="720"/>
          <w:tab w:val="center" w:pos="5088" w:leader="dot"/>
          <w:tab w:val="left" w:pos="5558" w:leader="none"/>
          <w:tab w:val="left" w:pos="6054" w:leader="none"/>
          <w:tab w:val="left" w:pos="7063" w:leader="none"/>
          <w:tab w:val="left" w:pos="8072" w:leader="none"/>
          <w:tab w:val="left" w:pos="9081" w:leader="none"/>
          <w:tab w:val="left" w:pos="10090" w:leader="none"/>
        </w:tabs>
        <w:jc w:val="both"/>
        <w:rPr>
          <w:rFonts w:ascii="Times New Roman" w:hAnsi="Times New Roman" w:cs="Times New Roman"/>
          <w:b/>
          <w:sz w:val="22"/>
          <w:lang w:val="en-AU"/>
        </w:rPr>
      </w:pPr>
      <w:r>
        <w:rPr>
          <w:rFonts w:cs="Times New Roman" w:ascii="Times New Roman" w:hAnsi="Times New Roman"/>
          <w:sz w:val="22"/>
          <w:lang w:val="en-AU"/>
        </w:rPr>
        <w:t xml:space="preserve">Date: </w:t>
        <w:tab/>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r>
        <w:br w:type="page"/>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p>
    <w:p>
      <w:pPr>
        <w:pStyle w:val="Heading2"/>
        <w:ind w:hanging="0" w:start="0"/>
        <w:jc w:val="both"/>
        <w:rPr/>
      </w:pPr>
      <w:r>
        <w:rPr/>
        <w:t>Schedule</w:t>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p>
    <w:p>
      <w:pPr>
        <w:pStyle w:val="Normal"/>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both"/>
        <w:rPr>
          <w:rFonts w:ascii="Times New Roman" w:hAnsi="Times New Roman" w:cs="Times New Roman"/>
          <w:b/>
          <w:sz w:val="22"/>
          <w:lang w:val="en-AU"/>
        </w:rPr>
      </w:pPr>
      <w:r>
        <w:rPr>
          <w:rFonts w:cs="Times New Roman" w:ascii="Times New Roman" w:hAnsi="Times New Roman"/>
          <w:b/>
          <w:sz w:val="22"/>
          <w:lang w:val="en-AU"/>
        </w:rPr>
      </w:r>
    </w:p>
    <w:p>
      <w:pPr>
        <w:pStyle w:val="Normal"/>
        <w:jc w:val="both"/>
        <w:rPr>
          <w:rFonts w:ascii="Times New Roman" w:hAnsi="Times New Roman" w:cs="Times New Roman"/>
          <w:b/>
          <w:sz w:val="22"/>
        </w:rPr>
      </w:pPr>
      <w:r>
        <w:rPr>
          <w:rFonts w:cs="Times New Roman" w:ascii="Times New Roman" w:hAnsi="Times New Roman"/>
          <w:b/>
          <w:sz w:val="22"/>
          <w:lang w:val="en-AU"/>
        </w:rPr>
        <w:t>[Insert decription of confidential information]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er"/>
        <w:tabs>
          <w:tab w:val="clear" w:pos="4153"/>
          <w:tab w:val="clear" w:pos="8306"/>
        </w:tabs>
        <w:rPr>
          <w:rFonts w:ascii="Times New Roman" w:hAnsi="Times New Roman" w:cs="Times New Roman"/>
          <w:sz w:val="22"/>
        </w:rPr>
      </w:pPr>
      <w:r>
        <w:rPr>
          <w:rFonts w:cs="Times New Roman" w:ascii="Times New Roman" w:hAnsi="Times New Roman"/>
          <w:sz w:val="22"/>
        </w:rPr>
      </w:r>
    </w:p>
    <w:sectPr>
      <w:headerReference w:type="default" r:id="rId4"/>
      <w:footerReference w:type="default" r:id="rId5"/>
      <w:type w:val="nextPage"/>
      <w:pgSz w:w="11906" w:h="16838"/>
      <w:pgMar w:left="1440" w:right="1418" w:gutter="0" w:header="720" w:top="1009" w:footer="567"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Univers">
    <w:charset w:val="00" w:characterSet="windows-1252"/>
    <w:family w:val="swiss"/>
    <w:pitch w:val="variable"/>
  </w:font>
  <w:font w:name="Book Antiqua">
    <w:charset w:val="00" w:characterSet="windows-1252"/>
    <w:family w:val="roman"/>
    <w:pitch w:val="variable"/>
  </w:font>
  <w:font w:name="Albertus Extra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/mnt/main-storage/datasets/enron-docs/doc/RMB_CA_271100.doc</w:t>
    </w:r>
    <w:r>
      <w:rPr>
        <w:sz w:val="16"/>
        <w:rFonts w:cs="Times New Roman" w:ascii="Times New Roman" w:hAnsi="Times New Roman"/>
      </w:rPr>
      <w:fldChar w:fldCharType="end"/>
    </w:r>
    <w:r>
      <w:rPr>
        <w:rFonts w:cs="Times New Roman" w:ascii="Times New Roman" w:hAnsi="Times New Roman"/>
        <w:sz w:val="16"/>
      </w:rPr>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5</w:t>
    </w:r>
    <w:r>
      <w:rPr>
        <w:rStyle w:val="PageNumber"/>
        <w:sz w:val="16"/>
        <w:rFonts w:cs="Times New Roman" w:ascii="Times New Roman" w:hAnsi="Times New Roman"/>
      </w:rPr>
      <w:fldChar w:fldCharType="end"/>
    </w:r>
  </w:p>
  <w:p>
    <w:pPr>
      <w:pStyle w:val="Footer"/>
      <w:rPr>
        <w:rStyle w:val="PageNumber"/>
        <w:rFonts w:ascii="Times New Roman" w:hAnsi="Times New Roman" w:cs="Times New Roman"/>
        <w:sz w:val="16"/>
      </w:rPr>
    </w:pPr>
    <w:r>
      <w:rPr/>
    </w:r>
  </w:p>
  <w:p>
    <w:pPr>
      <w:pStyle w:val="Footer"/>
      <w:jc w:val="center"/>
      <w:rPr/>
    </w:pPr>
    <w:r>
      <w:rPr>
        <w:rFonts w:cs="Univers" w:ascii="Univers" w:hAnsi="Univers"/>
        <w:b/>
      </w:rPr>
      <w:t>Endless possibilities.</w:t>
    </w:r>
  </w:p>
  <w:p>
    <w:pPr>
      <w:pStyle w:val="Footer"/>
      <w:jc w:val="center"/>
      <w:rPr>
        <w:rFonts w:ascii="Univers" w:hAnsi="Univers" w:cs="Univers"/>
        <w:b/>
        <w:sz w:val="18"/>
      </w:rPr>
    </w:pPr>
    <w:r>
      <w:rPr>
        <w:rFonts w:cs="Univers" w:ascii="Univers" w:hAnsi="Univers"/>
        <w:b/>
        <w:sz w:val="18"/>
      </w:rPr>
      <w:t>Enron Australia Pty. Limited A.C.N. 082 245 903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7"/>
      <w:numFmt w:val="decimal"/>
      <w:lvlText w:val="%1"/>
      <w:lvlJc w:val="start"/>
      <w:pPr>
        <w:tabs>
          <w:tab w:val="num" w:pos="630"/>
        </w:tabs>
        <w:ind w:start="630" w:hanging="630"/>
      </w:pPr>
      <w:rPr/>
    </w:lvl>
    <w:lvl w:ilvl="1">
      <w:start w:val="1"/>
      <w:numFmt w:val="none"/>
      <w:suff w:val="nothing"/>
      <w:lvlText w:val="8.3"/>
      <w:lvlJc w:val="start"/>
      <w:pPr>
        <w:tabs>
          <w:tab w:val="num" w:pos="630"/>
        </w:tabs>
        <w:ind w:start="630" w:hanging="63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2"/>
      <w:numFmt w:val="decimal"/>
      <w:lvlText w:val="%1."/>
      <w:lvlJc w:val="start"/>
      <w:pPr>
        <w:tabs>
          <w:tab w:val="num" w:pos="630"/>
        </w:tabs>
        <w:ind w:start="630" w:hanging="630"/>
      </w:pPr>
      <w:rPr/>
    </w:lvl>
    <w:lvl w:ilvl="1">
      <w:start w:val="1"/>
      <w:isLgl/>
      <w:numFmt w:val="decimal"/>
      <w:lvlText w:val="%1.%2"/>
      <w:lvlJc w:val="start"/>
      <w:pPr>
        <w:tabs>
          <w:tab w:val="num" w:pos="630"/>
        </w:tabs>
        <w:ind w:start="630" w:hanging="63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5">
    <w:lvl w:ilvl="0">
      <w:start w:val="1"/>
      <w:numFmt w:val="decimal"/>
      <w:lvlText w:val="%1."/>
      <w:lvlJc w:val="start"/>
      <w:pPr>
        <w:tabs>
          <w:tab w:val="num" w:pos="630"/>
        </w:tabs>
        <w:ind w:start="630" w:hanging="63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tabs>
        <w:tab w:val="clear" w:pos="720"/>
        <w:tab w:val="left" w:pos="0" w:leader="none"/>
        <w:tab w:val="left" w:pos="624" w:leader="none"/>
        <w:tab w:val="left" w:pos="1009" w:leader="none"/>
        <w:tab w:val="left" w:pos="2018" w:leader="none"/>
        <w:tab w:val="left" w:pos="3027" w:leader="none"/>
        <w:tab w:val="left" w:pos="4036" w:leader="none"/>
        <w:tab w:val="left" w:pos="5046" w:leader="none"/>
        <w:tab w:val="left" w:pos="5558" w:leader="none"/>
        <w:tab w:val="left" w:pos="6054" w:leader="none"/>
        <w:tab w:val="left" w:pos="7063" w:leader="none"/>
        <w:tab w:val="left" w:pos="8072" w:leader="none"/>
        <w:tab w:val="left" w:pos="9081" w:leader="none"/>
        <w:tab w:val="left" w:pos="10090" w:leader="none"/>
      </w:tabs>
      <w:spacing w:lineRule="exact" w:line="255"/>
      <w:jc w:val="center"/>
      <w:outlineLvl w:val="1"/>
    </w:pPr>
    <w:rPr>
      <w:rFonts w:ascii="Times New Roman" w:hAnsi="Times New Roman" w:cs="Times New Roman"/>
      <w:b/>
      <w:sz w:val="24"/>
      <w:lang w:val="en-AU"/>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MessageHeaderLabel">
    <w:name w:val="Message Header Label"/>
    <w:qFormat/>
    <w:rPr>
      <w:rFonts w:ascii="Arial Black" w:hAnsi="Arial Black" w:cs="Arial Black"/>
      <w:sz w:val="18"/>
    </w:rPr>
  </w:style>
  <w:style w:type="character" w:styleId="Emphasis">
    <w:name w:val="Emphasis"/>
    <w:qFormat/>
    <w:rPr>
      <w:rFonts w:ascii="Arial Black" w:hAnsi="Arial Black" w:cs="Arial Black"/>
      <w:sz w:val="18"/>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MessageHeader">
    <w:name w:val="Message Header"/>
    <w:basedOn w:val="BodyText"/>
    <w:qFormat/>
    <w:pPr>
      <w:keepLines/>
      <w:pBdr>
        <w:bottom w:val="single" w:sz="6" w:space="2" w:color="000000"/>
      </w:pBdr>
      <w:tabs>
        <w:tab w:val="left" w:pos="720" w:leader="none"/>
        <w:tab w:val="left" w:pos="4320" w:leader="none"/>
        <w:tab w:val="left" w:pos="5040" w:leader="none"/>
        <w:tab w:val="right" w:pos="8640" w:leader="none"/>
      </w:tabs>
      <w:spacing w:lineRule="atLeast" w:line="440" w:before="0" w:after="0"/>
      <w:ind w:hanging="720" w:start="720" w:end="0"/>
    </w:pPr>
    <w:rPr>
      <w:spacing w:val="-5"/>
      <w:lang w:val="en-GB"/>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spacing w:val="-100"/>
      <w:kern w:val="2"/>
      <w:sz w:val="108"/>
      <w:lang w:val="en-GB"/>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9" w:color="000000"/>
      </w:pBdr>
      <w:tabs>
        <w:tab w:val="clear" w:pos="720"/>
        <w:tab w:val="clear" w:pos="4320"/>
        <w:tab w:val="clear" w:pos="5040"/>
        <w:tab w:val="clear" w:pos="8640"/>
        <w:tab w:val="left" w:pos="1181" w:leader="none"/>
        <w:tab w:val="left" w:pos="2765" w:leader="none"/>
        <w:tab w:val="left" w:pos="4853" w:leader="none"/>
        <w:tab w:val="right" w:pos="8309" w:leader="none"/>
      </w:tabs>
      <w:spacing w:before="120" w:after="120"/>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
    <w:name w:val="List Bullet"/>
    <w:basedOn w:val="Normal"/>
    <w:qFormat/>
    <w:pPr>
      <w:numPr>
        <w:ilvl w:val="0"/>
        <w:numId w:val="2"/>
      </w:numPr>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EA Pty Ltd Letterhead</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2000-11-27T05:15:00Z</dcterms:created>
  <dc:creator>rmcgror</dc:creator>
  <dc:description/>
  <dc:language>en-CA</dc:language>
  <cp:lastModifiedBy>dminns</cp:lastModifiedBy>
  <cp:lastPrinted>2000-11-27T18:47:00Z</cp:lastPrinted>
  <dcterms:modified xsi:type="dcterms:W3CDTF">2000-11-27T05:23:00Z</dcterms:modified>
  <cp:revision>4</cp:revision>
  <dc:subject/>
  <dc:title> </dc:title>
</cp:coreProperties>
</file>