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heading"/>
        <w:spacing w:lineRule="auto" w:line="240" w:before="0" w:after="0"/>
        <w:rPr/>
      </w:pPr>
      <w:r>
        <w:rPr/>
        <w:t>UNITED STATES OF AMERICA</w:t>
      </w:r>
    </w:p>
    <w:p>
      <w:pPr>
        <w:pStyle w:val="centeredheading"/>
        <w:spacing w:lineRule="auto" w:line="240" w:before="0" w:after="0"/>
        <w:rPr/>
      </w:pPr>
      <w:r>
        <w:rPr/>
        <w:t>BEFORE THE</w:t>
      </w:r>
    </w:p>
    <w:p>
      <w:pPr>
        <w:pStyle w:val="centeredheading"/>
        <w:spacing w:lineRule="auto" w:line="240" w:before="0" w:after="0"/>
        <w:rPr/>
      </w:pPr>
      <w:r>
        <w:rPr/>
        <w:t>FEDERAL ENERGY REGULATORY COMMISSION</w:t>
      </w:r>
    </w:p>
    <w:p>
      <w:pPr>
        <w:pStyle w:val="Normal"/>
        <w:jc w:val="both"/>
        <w:rPr/>
      </w:pPr>
      <w:r>
        <w:rPr/>
      </w:r>
    </w:p>
    <w:p>
      <w:pPr>
        <w:pStyle w:val="Normal"/>
        <w:jc w:val="both"/>
        <w:rPr/>
      </w:pPr>
      <w:r>
        <w:rPr/>
      </w:r>
    </w:p>
    <w:p>
      <w:pPr>
        <w:pStyle w:val="Normal"/>
        <w:jc w:val="both"/>
        <w:rPr/>
      </w:pPr>
      <w:r>
        <w:rPr/>
        <w:t>Regulation of Short-Term Natural Gas Transportation)</w:t>
        <w:tab/>
        <w:t>Docket No. RM98-10-001</w:t>
      </w:r>
    </w:p>
    <w:p>
      <w:pPr>
        <w:pStyle w:val="Normal"/>
        <w:jc w:val="both"/>
        <w:rPr/>
      </w:pPr>
      <w:r>
        <w:rPr/>
        <w:t>Services, and Regulation of Interstate Natural Gas</w:t>
        <w:tab/>
        <w:t xml:space="preserve">  )</w:t>
        <w:tab/>
        <w:t>Order No. 637</w:t>
      </w:r>
    </w:p>
    <w:p>
      <w:pPr>
        <w:pStyle w:val="Normal"/>
        <w:jc w:val="both"/>
        <w:rPr/>
      </w:pPr>
      <w:r>
        <w:rPr/>
        <w:t>Transportation Services</w:t>
        <w:tab/>
        <w:tab/>
        <w:tab/>
        <w:tab/>
        <w:t xml:space="preserve">  )</w:t>
      </w:r>
    </w:p>
    <w:p>
      <w:pPr>
        <w:pStyle w:val="Normal"/>
        <w:jc w:val="both"/>
        <w:rPr/>
      </w:pPr>
      <w:r>
        <w:rPr/>
      </w:r>
    </w:p>
    <w:p>
      <w:pPr>
        <w:pStyle w:val="centeredheading"/>
        <w:spacing w:lineRule="auto" w:line="240" w:before="0" w:after="0"/>
        <w:rPr/>
      </w:pPr>
      <w:r>
        <w:rPr/>
        <w:t xml:space="preserve">REQUEST FOR REHEARING AND CLARIFICATION </w:t>
      </w:r>
    </w:p>
    <w:p>
      <w:pPr>
        <w:pStyle w:val="centeredheading"/>
        <w:spacing w:lineRule="auto" w:line="240" w:before="0" w:after="0"/>
        <w:rPr/>
      </w:pPr>
      <w:r>
        <w:rPr/>
        <w:t>OF THE INTERSTATE NATURAL GAS ASSOCIATION of america</w:t>
      </w:r>
    </w:p>
    <w:p>
      <w:pPr>
        <w:pStyle w:val="bodytext1"/>
        <w:jc w:val="both"/>
        <w:rPr/>
      </w:pPr>
      <w:r>
        <w:rPr/>
        <w:t xml:space="preserve">Pursuant to Rule 713 of the Federal Energy Regulatory Commission’s (Commission) Rules of Practice and Procedure, 18 C.F.R. § 385.713, the Interstate Natural Gas Association of America (INGAA) seeks rehearing and clarification of Order No. 637, issued February 9, 1999. </w:t>
      </w:r>
    </w:p>
    <w:p>
      <w:pPr>
        <w:pStyle w:val="bodytext1"/>
        <w:jc w:val="both"/>
        <w:rPr/>
      </w:pPr>
      <w:r>
        <w:rPr/>
        <w:t>The natural gas industry needs correct price signals for short- and long-term transportation to determine whether to invest in exploration and production, new electric generators and gas equipment and new pipeline infrastructure.  Changes in gas markets since Order No. 636 – unbundling, LDC restructuring, the advent of competition in wholesale electric markets – require the Commission to reconsider how its short- and long-term pricing policies can send correct market signals.</w:t>
      </w:r>
    </w:p>
    <w:p>
      <w:pPr>
        <w:pStyle w:val="bodytext1"/>
        <w:jc w:val="both"/>
        <w:rPr/>
      </w:pPr>
      <w:r>
        <w:rPr/>
        <w:t>Unlike electric rates, which recognize monthly and even hourly demands on the wholesale electric transmission system, the pipelines’ annual average cost-of-service methodology assumes that fixed costs are recovered evenly over the year.  This worked prior to Order No. 637 because distribution customers generally had long-term, year-round contracts.  But today, it causes long-term capacity to subsidize peak period capacity in short-term markets, putting shippers with long-term contracts at a competitive disadvantage and creating another disincentive for long-term contracts.  This shifts costs from short-to long-term shippers.</w:t>
      </w:r>
    </w:p>
    <w:p>
      <w:pPr>
        <w:pStyle w:val="bodytext1"/>
        <w:jc w:val="both"/>
        <w:rPr/>
      </w:pPr>
      <w:r>
        <w:rPr/>
        <w:t xml:space="preserve">Order No. 637 recognizes these problems and permits new pricing flexibility so that short-term natural gas markets can evolve. Therefore, INGAA requests rehearing and clarification on only a discrete set of issues that will help the natural gas industry implement Order No. 637 as quickly and effectively as possible. </w:t>
      </w:r>
    </w:p>
    <w:p>
      <w:pPr>
        <w:pStyle w:val="bodytext1"/>
        <w:jc w:val="both"/>
        <w:rPr/>
      </w:pPr>
      <w:r>
        <w:rPr/>
      </w:r>
    </w:p>
    <w:p>
      <w:pPr>
        <w:pStyle w:val="bodytext1"/>
        <w:numPr>
          <w:ilvl w:val="0"/>
          <w:numId w:val="2"/>
        </w:numPr>
        <w:spacing w:lineRule="auto" w:line="240"/>
        <w:ind w:hanging="360" w:start="1498" w:end="0"/>
        <w:jc w:val="both"/>
        <w:rPr/>
      </w:pPr>
      <w:r>
        <w:rPr/>
        <w:t xml:space="preserve">Releasing and replacement shippers cannot use the pipeline system at a level greater than their original contract with the pipeline.  Panhandle Eastern Pipeline Company, 74 FERC ¶ 61,102, reh’g 75 FERC ¶ 61,084 (1996).  Therefore, INGAA seeks clarification or rehearing that: (a) the Commission’s recent decisions in </w:t>
      </w:r>
      <w:r>
        <w:rPr>
          <w:i/>
        </w:rPr>
        <w:t xml:space="preserve">Tennessee Gas Pipeline Company, </w:t>
      </w:r>
      <w:r>
        <w:rPr/>
        <w:t xml:space="preserve">85 FERC ¶ 61,052 (1998), </w:t>
      </w:r>
      <w:r>
        <w:rPr>
          <w:i/>
        </w:rPr>
        <w:t>reh’g</w:t>
      </w:r>
      <w:r>
        <w:rPr/>
        <w:t xml:space="preserve"> 86 FERC ¶ 61,290 (1999) (Tennessee)</w:t>
      </w:r>
      <w:r>
        <w:rPr>
          <w:i/>
        </w:rPr>
        <w:t xml:space="preserve"> </w:t>
      </w:r>
      <w:r>
        <w:rPr/>
        <w:t>and</w:t>
      </w:r>
      <w:r>
        <w:rPr>
          <w:i/>
        </w:rPr>
        <w:t xml:space="preserve"> Texas Gas Transmission Corporation, </w:t>
      </w:r>
      <w:r>
        <w:rPr/>
        <w:t>89 FERC 61,096 (1999) (Texas Gas)</w:t>
      </w:r>
      <w:r>
        <w:rPr>
          <w:i/>
        </w:rPr>
        <w:t xml:space="preserve"> </w:t>
      </w:r>
      <w:r>
        <w:rPr/>
        <w:t>will be applied in reviewing pipeline compliance filings on segmentation; and (b) pipelines will be allowed to sell firm, long-term capacity at primary points vacated by releasing and replacement shippers.</w:t>
      </w:r>
    </w:p>
    <w:p>
      <w:pPr>
        <w:pStyle w:val="bodytext1"/>
        <w:spacing w:lineRule="auto" w:line="240"/>
        <w:ind w:hanging="0" w:start="1138" w:end="0"/>
        <w:jc w:val="both"/>
        <w:rPr/>
      </w:pPr>
      <w:r>
        <w:rPr/>
      </w:r>
    </w:p>
    <w:p>
      <w:pPr>
        <w:pStyle w:val="bodytext1"/>
        <w:numPr>
          <w:ilvl w:val="0"/>
          <w:numId w:val="2"/>
        </w:numPr>
        <w:spacing w:lineRule="auto" w:line="240"/>
        <w:ind w:hanging="360" w:start="1498" w:end="0"/>
        <w:jc w:val="both"/>
        <w:rPr/>
      </w:pPr>
      <w:r>
        <w:rPr/>
        <w:t>On peak/off-peak pricing, the Commission should clarify that seasonal and term differentiated rates may be implemented by settlement.  Further, the Commission should clarify that the focus of the required cost and revenue study is peak/off-peak revenues from related short-term services.</w:t>
      </w:r>
    </w:p>
    <w:p>
      <w:pPr>
        <w:pStyle w:val="bodytext1"/>
        <w:spacing w:lineRule="auto" w:line="240"/>
        <w:ind w:hanging="0" w:end="0"/>
        <w:jc w:val="both"/>
        <w:rPr/>
      </w:pPr>
      <w:r>
        <w:rPr/>
      </w:r>
    </w:p>
    <w:p>
      <w:pPr>
        <w:pStyle w:val="bodytext1"/>
        <w:numPr>
          <w:ilvl w:val="0"/>
          <w:numId w:val="2"/>
        </w:numPr>
        <w:spacing w:lineRule="auto" w:line="240"/>
        <w:ind w:hanging="360" w:start="1498" w:end="0"/>
        <w:jc w:val="both"/>
        <w:rPr/>
      </w:pPr>
      <w:r>
        <w:rPr/>
        <w:t>At this time, INGAA does not request self-implementing, negotiated terms and conditions of service.  Instead, the Commission should implement expeditiously new tariff services and non-conforming service agreements where there is no undue discrimination or degradation of existing service.</w:t>
      </w:r>
    </w:p>
    <w:p>
      <w:pPr>
        <w:pStyle w:val="bodytext1"/>
        <w:spacing w:lineRule="auto" w:line="240"/>
        <w:ind w:hanging="0" w:end="0"/>
        <w:jc w:val="both"/>
        <w:rPr/>
      </w:pPr>
      <w:r>
        <w:rPr/>
      </w:r>
    </w:p>
    <w:p>
      <w:pPr>
        <w:pStyle w:val="bodytext1"/>
        <w:numPr>
          <w:ilvl w:val="0"/>
          <w:numId w:val="2"/>
        </w:numPr>
        <w:spacing w:lineRule="auto" w:line="240"/>
        <w:ind w:hanging="360" w:start="1498" w:end="0"/>
        <w:jc w:val="both"/>
        <w:rPr/>
      </w:pPr>
      <w:r>
        <w:rPr/>
        <w:t>On reporting, the Commission should set a date certain for updating organization charts on the first business day of a quarter.  It should clarify that pipelines are required to identify their own, but not their unaffiliated customers’, affiliates in the firm transportation report.  And, the Commission should clarify that transportation contracts for new construction should be reported when service commences on the newly constructed facilities.</w:t>
      </w:r>
    </w:p>
    <w:p>
      <w:pPr>
        <w:pStyle w:val="Heading1"/>
        <w:ind w:hanging="720" w:start="720" w:end="0"/>
        <w:jc w:val="both"/>
        <w:rPr/>
      </w:pPr>
      <w:r>
        <w:rPr/>
        <w:t>THE COMMISSION SHOULD CLARIFY THAT IT WILL APPLY RECENT PRECEDENTS IN TENNESSEE</w:t>
      </w:r>
      <w:r>
        <w:rPr>
          <w:i/>
        </w:rPr>
        <w:t xml:space="preserve"> </w:t>
      </w:r>
      <w:r>
        <w:rPr/>
        <w:t>AND TEXAS GAS</w:t>
      </w:r>
      <w:r>
        <w:rPr>
          <w:i/>
        </w:rPr>
        <w:t xml:space="preserve"> </w:t>
      </w:r>
      <w:r>
        <w:rPr/>
        <w:t>WHEN REVIEWING PIPELINE FILINGS ON SEgMENTATION SO THAT “THE TOTAL AMOUNT FLOWING UNDER THE FIRM CONTRACT RIGHTS CAN BE LIMITED TO THE ORIGINAL CONTRACT QUANTITY”</w:t>
      </w:r>
      <w:r>
        <w:rPr>
          <w:rStyle w:val="FootnoteCharacters"/>
          <w:rStyle w:val="FootnoteReference"/>
          <w:sz w:val="24"/>
        </w:rPr>
        <w:footnoteReference w:id="2"/>
      </w:r>
      <w:r>
        <w:rPr/>
        <w:t>.</w:t>
      </w:r>
    </w:p>
    <w:p>
      <w:pPr>
        <w:pStyle w:val="bodytext1"/>
        <w:jc w:val="both"/>
        <w:rPr/>
      </w:pPr>
      <w:r>
        <w:rPr/>
        <w:t>As the Commission stated in Order No. 637</w:t>
      </w:r>
      <w:r>
        <w:rPr>
          <w:rStyle w:val="FootnoteCharacters"/>
          <w:rStyle w:val="FootnoteReference"/>
          <w:sz w:val="24"/>
        </w:rPr>
        <w:footnoteReference w:id="3"/>
      </w:r>
      <w:r>
        <w:rPr/>
        <w:t xml:space="preserve">, the highlighted portion of new Section 284.7 (d) means that segmentation must be permitted to the extent </w:t>
      </w:r>
      <w:r>
        <w:rPr>
          <w:i/>
        </w:rPr>
        <w:t>operationally feasible</w:t>
      </w:r>
      <w:r>
        <w:rPr/>
        <w:t xml:space="preserve">. </w:t>
      </w:r>
    </w:p>
    <w:p>
      <w:pPr>
        <w:pStyle w:val="indent"/>
        <w:jc w:val="both"/>
        <w:rPr/>
      </w:pPr>
      <w:r>
        <w:rPr/>
        <w:t xml:space="preserve">An interstate pipeline that offers transportation service under subpart B or G of this part must permit a shipper to make use of the firm capacity for which it has contracted by segmenting that capacity into separate parts for its own use or for the purpose of releasing that capacity to replacement shippers </w:t>
      </w:r>
      <w:r>
        <w:rPr>
          <w:b/>
        </w:rPr>
        <w:t xml:space="preserve">to the extent such segmentation is operationally feasible. </w:t>
      </w:r>
      <w:r>
        <w:rPr/>
        <w:t xml:space="preserve"> .  (emphasis added)  slip at 131-132</w:t>
      </w:r>
    </w:p>
    <w:p>
      <w:pPr>
        <w:pStyle w:val="bodytext1"/>
        <w:jc w:val="both"/>
        <w:rPr/>
      </w:pPr>
      <w:r>
        <w:rPr/>
        <w:t xml:space="preserve">INGAA believes that </w:t>
      </w:r>
      <w:r>
        <w:rPr>
          <w:i/>
        </w:rPr>
        <w:t>operationally feasible</w:t>
      </w:r>
      <w:r>
        <w:rPr/>
        <w:t xml:space="preserve"> must be defined so that “the total amount flowing under the firm contract rights can be limited to the original contract quantity”</w:t>
      </w:r>
      <w:r>
        <w:rPr>
          <w:rStyle w:val="FootnoteCharacters"/>
          <w:rStyle w:val="FootnoteReference"/>
          <w:sz w:val="24"/>
        </w:rPr>
        <w:footnoteReference w:id="4"/>
      </w:r>
      <w:r>
        <w:rPr/>
        <w:t>. To the extent that the Commission does not grant this clarification, INGAA seeks rehearing.</w:t>
      </w:r>
    </w:p>
    <w:p>
      <w:pPr>
        <w:pStyle w:val="bodytext1"/>
        <w:keepNext w:val="true"/>
        <w:jc w:val="both"/>
        <w:rPr/>
      </w:pPr>
      <w:r>
        <w:rPr/>
        <w:t>The issue of segmentation has been the subject of much discussion at the Commission.  In April 1997, INGAA warned the Commission that some shippers’ requests for segmentation would afford original and replacement shippers substantially more capacity than the original contract.</w:t>
      </w:r>
      <w:r>
        <w:rPr>
          <w:rStyle w:val="FootnoteCharacters"/>
          <w:rStyle w:val="FootnoteReference"/>
          <w:sz w:val="24"/>
        </w:rPr>
        <w:footnoteReference w:id="5"/>
      </w:r>
      <w:r>
        <w:rPr/>
        <w:t xml:space="preserve">  These issues came to a head in </w:t>
      </w:r>
      <w:r>
        <w:rPr>
          <w:i/>
        </w:rPr>
        <w:t xml:space="preserve">Tennessee Gas Pipeline Company, </w:t>
      </w:r>
      <w:r>
        <w:rPr/>
        <w:t xml:space="preserve">85 FERC ¶ 61,052 (1998), </w:t>
      </w:r>
      <w:r>
        <w:rPr>
          <w:i/>
        </w:rPr>
        <w:t xml:space="preserve">reh’g </w:t>
      </w:r>
      <w:r>
        <w:rPr/>
        <w:t xml:space="preserve">86 FERC ¶ 61,290 (1999) </w:t>
      </w:r>
      <w:r>
        <w:rPr>
          <w:i/>
        </w:rPr>
        <w:t>(Tennessee)</w:t>
      </w:r>
      <w:r>
        <w:rPr/>
        <w:t xml:space="preserve"> and </w:t>
      </w:r>
      <w:r>
        <w:rPr>
          <w:i/>
        </w:rPr>
        <w:t>Texas Gas Transmission Corporation</w:t>
      </w:r>
      <w:r>
        <w:rPr/>
        <w:t>, 89 FERC ¶ 61,096 (1999) (</w:t>
      </w:r>
      <w:r>
        <w:rPr>
          <w:i/>
        </w:rPr>
        <w:t>Texas Gas</w:t>
      </w:r>
      <w:r>
        <w:rPr/>
        <w:t>).</w:t>
      </w:r>
    </w:p>
    <w:p>
      <w:pPr>
        <w:pStyle w:val="bodytext1"/>
        <w:jc w:val="both"/>
        <w:rPr/>
      </w:pPr>
      <w:r>
        <w:rPr/>
        <w:t>Tennessee Pipeline, supported by other firm capacity holders on the pipeline,</w:t>
      </w:r>
      <w:r>
        <w:rPr>
          <w:rStyle w:val="FootnoteCharacters"/>
          <w:rStyle w:val="FootnoteReference"/>
          <w:sz w:val="24"/>
        </w:rPr>
        <w:footnoteReference w:id="6"/>
      </w:r>
      <w:r>
        <w:rPr/>
        <w:t xml:space="preserve"> proposed the following:</w:t>
      </w:r>
    </w:p>
    <w:p>
      <w:pPr>
        <w:pStyle w:val="indent"/>
        <w:jc w:val="both"/>
        <w:rPr/>
      </w:pPr>
      <w:r>
        <w:rPr/>
        <w:t xml:space="preserve">A Releasing Shipper is prohibited from re-releasing the released segment unless and until the Releasing Shipper recalls the released segment or the released segment reverts to the Releasing Shipper at the end of the release term.  Replacement Shippers who desire to re-release the released segment may only release capacity within their acquired capacity segment.  The sum of the capacity released in any segment cannot exceed the Releasing Shipper’s original capacity entitlements.  Nominations to a point outside of the Released Segment by the Replacement Shipper or within the Released Segment by the Replacement Shipper shall not be permitted.  85 FERC at 61,160 </w:t>
      </w:r>
    </w:p>
    <w:p>
      <w:pPr>
        <w:pStyle w:val="bodytext-left"/>
        <w:jc w:val="both"/>
        <w:rPr/>
      </w:pPr>
      <w:r>
        <w:rPr/>
        <w:t xml:space="preserve">Tennessee made its filing because segmentation was permitting original and replacement shippers to increase their combined use of the system far beyond the original contract.  The Commission accepted the proposal.  The Commission recognized that segmentation had its limits, </w:t>
      </w:r>
      <w:r>
        <w:rPr>
          <w:i/>
        </w:rPr>
        <w:t>i.e.</w:t>
      </w:r>
      <w:r>
        <w:rPr/>
        <w:t xml:space="preserve"> the  original contract quantity, within the zone, of the releasing shipper.</w:t>
      </w:r>
    </w:p>
    <w:p>
      <w:pPr>
        <w:pStyle w:val="indent"/>
        <w:jc w:val="both"/>
        <w:rPr/>
      </w:pPr>
      <w:r>
        <w:rPr/>
        <w:t>The total amount of capacity that can either be released or used within any portion of the zone cannot exceed the original entitlement level. 85 FERC at 61,163.</w:t>
      </w:r>
    </w:p>
    <w:p>
      <w:pPr>
        <w:pStyle w:val="bodytext-left"/>
        <w:jc w:val="both"/>
        <w:rPr/>
      </w:pPr>
      <w:r>
        <w:rPr/>
        <w:t>The Commission added:</w:t>
      </w:r>
    </w:p>
    <w:p>
      <w:pPr>
        <w:pStyle w:val="indent"/>
        <w:jc w:val="both"/>
        <w:rPr/>
      </w:pPr>
      <w:r>
        <w:rPr/>
        <w:t xml:space="preserve">Thus, under existing policy, releasing shippers only have the right to release the amount of capacity over a given segment that they originally acquired from the pipeline and have the right to use.  This means that they have no right to release and use the overlapping segments where, in the overlapped portion, the total capacity released and used exceeds their original entitlement.  </w:t>
      </w:r>
    </w:p>
    <w:p>
      <w:pPr>
        <w:pStyle w:val="indent"/>
        <w:spacing w:lineRule="auto" w:line="240" w:before="0" w:after="0"/>
        <w:jc w:val="both"/>
        <w:rPr/>
      </w:pPr>
      <w:r>
        <w:rPr/>
      </w:r>
    </w:p>
    <w:p>
      <w:pPr>
        <w:pStyle w:val="indent"/>
        <w:spacing w:lineRule="auto" w:line="240" w:before="0" w:after="0"/>
        <w:jc w:val="both"/>
        <w:rPr/>
      </w:pPr>
      <w:r>
        <w:rPr/>
        <w:t>What this means is that, in the case of overlapping secondary capacity nominations by the releasing and replacement shippers, the pipeline need not permit the combined total of their nomination quantities in that section of the zone to exceed the releasing shipper’s original contract entitlement level.  Thus in any section of the zone, the actual flow of volumes derived from the releasing shipper’s contract with the pipeline can be limited to the releasing shipper’s original contract entitlement level.  85 FERC at 61,163</w:t>
      </w:r>
    </w:p>
    <w:p>
      <w:pPr>
        <w:pStyle w:val="bodytext1"/>
        <w:jc w:val="both"/>
        <w:rPr/>
      </w:pPr>
      <w:r>
        <w:rPr/>
        <w:t>The Commission gave an example of how the total amount of gas delivered in a zone, using a series of non-overlapping released segments within a zone, can exceed the releasing shipper’s original contract entitlement.  The Commission said that if the releasing shipper’s entitlement is 100 units and it releases five non-overlapping 100 unit segments at secondary delivery points in each zone, the possibility exists for the shipper to try to use 500 total units!  The Commission stressed, however, that no more than 100 units would be allowed to flow under the contract and again added:</w:t>
      </w:r>
    </w:p>
    <w:p>
      <w:pPr>
        <w:pStyle w:val="bodytext1"/>
        <w:spacing w:lineRule="auto" w:line="240"/>
        <w:rPr/>
      </w:pPr>
      <w:r>
        <w:rPr/>
      </w:r>
    </w:p>
    <w:p>
      <w:pPr>
        <w:pStyle w:val="indent"/>
        <w:spacing w:before="0" w:after="0"/>
        <w:jc w:val="both"/>
        <w:rPr/>
      </w:pPr>
      <w:r>
        <w:rPr/>
        <w:t>Where total capacity nominations of the releasing and/or replacement shippers overlap the total amount flowing under the firm contract rights can be limited to the original contract quantity. 85 FERC at 61,163-64.</w:t>
      </w:r>
    </w:p>
    <w:p>
      <w:pPr>
        <w:pStyle w:val="bodytext1"/>
        <w:jc w:val="both"/>
        <w:rPr/>
      </w:pPr>
      <w:r>
        <w:rPr/>
        <w:t xml:space="preserve">In its comments on RM98-10-000, INGAA supported workable segmentation policies that give original and replacement shippers equal access to flexible receipt and delivery points and increase competition in the short-term market.  INGAA stressed however that the Commission must adhere to the clarification enunciated in </w:t>
      </w:r>
      <w:r>
        <w:rPr>
          <w:i/>
        </w:rPr>
        <w:t xml:space="preserve">Tennessee.  </w:t>
      </w:r>
      <w:r>
        <w:rPr/>
        <w:t xml:space="preserve">The final rule does not provide the assurance needed on this issue to protect pipelines and holders of firm capacity from shippers who attempt to use the Commission’s segmentation policies to exceed their contract quantities.  The order on rehearing must clearly state that in reviewing restrictions proposed by pipelines on segmentation the Commission will apply the principles and precedent of </w:t>
      </w:r>
      <w:r>
        <w:rPr>
          <w:i/>
        </w:rPr>
        <w:t>Tennessee</w:t>
      </w:r>
      <w:r>
        <w:rPr/>
        <w:t xml:space="preserve">.  </w:t>
      </w:r>
    </w:p>
    <w:p>
      <w:pPr>
        <w:pStyle w:val="bodytext1"/>
        <w:jc w:val="both"/>
        <w:rPr/>
      </w:pPr>
      <w:r>
        <w:rPr/>
        <w:t xml:space="preserve">The recent decision in </w:t>
      </w:r>
      <w:r>
        <w:rPr>
          <w:i/>
        </w:rPr>
        <w:t>Texas Gas</w:t>
      </w:r>
      <w:r>
        <w:rPr/>
        <w:t xml:space="preserve"> shows why.  Texas Gas filed for clarification after the </w:t>
      </w:r>
      <w:r>
        <w:rPr>
          <w:i/>
        </w:rPr>
        <w:t>Tennessee</w:t>
      </w:r>
      <w:r>
        <w:rPr/>
        <w:t xml:space="preserve"> decision.  Again, firm capacity holders on the system supported Texas Gas’ filing, recognizing that excessive segmentation devalued their firm capacity.</w:t>
      </w:r>
      <w:r>
        <w:rPr>
          <w:rStyle w:val="FootnoteCharacters"/>
          <w:rStyle w:val="FootnoteReference"/>
          <w:sz w:val="24"/>
        </w:rPr>
        <w:footnoteReference w:id="7"/>
      </w:r>
      <w:r>
        <w:rPr/>
        <w:t xml:space="preserve"> Texas Gas said that shippers had consistently used capacity release to multiply capacity rights beyond the scope of their original contracts.  Texas Gas reviewed the capacity releases occurring on its system during the month of April 1999, a month when transportation activity was below normal.  Of the forty original contracts released during that month, fourteen were released into segments where the various capacity holders used their secondary rights to move more than the original contract demand through a segment.  A number of these releases involved moving more than the original contract demand through multiple segments of capacity.  Texas Gas added:</w:t>
      </w:r>
    </w:p>
    <w:p>
      <w:pPr>
        <w:pStyle w:val="indent"/>
        <w:jc w:val="both"/>
        <w:rPr/>
      </w:pPr>
      <w:r>
        <w:rPr/>
        <w:t xml:space="preserve">On average, these shippers utilized capacity at a percentage equal to one hundred and fifty-seven percent (157%) of the original contract demand.  In other words, under thirty-five percent (35%) of the original contracts released during that month, shippers multiplied their capacity rights though at least one segment by a factor of more than 150% of the original contract demand. 89 FERC at 61,275 </w:t>
      </w:r>
    </w:p>
    <w:p>
      <w:pPr>
        <w:pStyle w:val="bodytext1"/>
        <w:jc w:val="both"/>
        <w:rPr/>
      </w:pPr>
      <w:r>
        <w:rPr/>
        <w:t>Spot checks showed that the same practices occurred in other months.  The Commission accepted Texas Gas’ filing saying the pipeline had submitted sufficient evidence to demonstrate potential harm to the value of Texas Gas’ firm capacity and its ability to sell interruptible capacity.   Moreover the filing struck a balance between the pipeline’s and shippers’ interests.  On rehearing here, the Commission should strike that balance and clarify that “the total amount flowing under the firm contract rights can be limited to the original contract quantity”</w:t>
      </w:r>
      <w:r>
        <w:rPr>
          <w:rStyle w:val="FootnoteCharacters"/>
          <w:rStyle w:val="FootnoteReference"/>
          <w:sz w:val="24"/>
        </w:rPr>
        <w:footnoteReference w:id="8"/>
      </w:r>
      <w:r>
        <w:rPr/>
        <w:t>.</w:t>
      </w:r>
    </w:p>
    <w:p>
      <w:pPr>
        <w:pStyle w:val="Heading1"/>
        <w:ind w:hanging="720" w:start="720" w:end="0"/>
        <w:jc w:val="both"/>
        <w:rPr/>
      </w:pPr>
      <w:r>
        <w:rPr/>
        <w:t>PIPELINES MUST BE ALLOWED TO SELL FIRM, LONG-TERM CAPACITY AT PRIMARY POINTS VACATED BY RELEASING AND REPLACEMENT SHIPPERS</w:t>
      </w:r>
    </w:p>
    <w:p>
      <w:pPr>
        <w:pStyle w:val="bodytext1"/>
        <w:jc w:val="both"/>
        <w:rPr/>
      </w:pPr>
      <w:r>
        <w:rPr/>
        <w:t>In RM98-10-000, the Commission discussed replacement shippers’ rights to change primary points during a capacity release.  The Commission asked whether all pipelines should be required to allow shippers to move their primary points to any available point and reserve the right to return to their original primary point(s) at the end of a release.</w:t>
      </w:r>
      <w:r>
        <w:rPr>
          <w:rStyle w:val="FootnoteCharacters"/>
          <w:rStyle w:val="FootnoteReference"/>
          <w:sz w:val="24"/>
        </w:rPr>
        <w:footnoteReference w:id="9"/>
      </w:r>
    </w:p>
    <w:p>
      <w:pPr>
        <w:pStyle w:val="bodytext1"/>
        <w:jc w:val="both"/>
        <w:rPr/>
      </w:pPr>
      <w:r>
        <w:rPr/>
        <w:t xml:space="preserve">Order No. 637 requires pipelines to provide operational justifications for the pipelines’ policies on flexible receipt and delivery points and capacity segments.  Before the pipeline must comply with new Section 284.7(d), the Commission should clarify that a pipeline can sell firm, long-term capacity vacated at a primary point, and that a releasing shipper does </w:t>
      </w:r>
      <w:r>
        <w:rPr>
          <w:i/>
        </w:rPr>
        <w:t>not</w:t>
      </w:r>
      <w:r>
        <w:rPr/>
        <w:t xml:space="preserve"> have an automatic right to return to the point, or limit the pipeline’s ability to sell capacity at the point on a long-term basis.  Before addressing the merits of the issue, we stress that INGAA has no problem with original or replacement shippers changing receipt and delivery points in order to facilitate capacity release.  Moreover, INGAA has no problem with releasing shippers having the ability to return to a primary point at the end of the release, </w:t>
      </w:r>
      <w:r>
        <w:rPr>
          <w:i/>
        </w:rPr>
        <w:t>if that point is still available</w:t>
      </w:r>
      <w:r>
        <w:rPr/>
        <w:t>.  However, INGAA vigorously opposes the suggestion that releasing shippers have an automatic right to reserve a point, the shipper vacated, as a result of a shipper’s business decision to release the capacity.  Allowing shippers to reserve valuable primary points, during a release, withholds long-term, firm capacity and increases shippers’ market power.</w:t>
      </w:r>
    </w:p>
    <w:p>
      <w:pPr>
        <w:pStyle w:val="bodytext1"/>
        <w:jc w:val="both"/>
        <w:rPr/>
      </w:pPr>
      <w:r>
        <w:rPr/>
        <w:t xml:space="preserve">On rehearing, the Commission should clarify that pipelines will have the ability to sell long-term, firm capacity at a point vacated by an original or replacement shipper.  The Commission should clarify that releasing shippers have the right to return to the point at the end of the release if and only if capacity is available at that time.  To do otherwise is will allow shippers to withhold capacity from the long-term market. </w:t>
      </w:r>
      <w:r>
        <w:rPr>
          <w:i/>
        </w:rPr>
        <w:t>Columbia Gas Transmission Corporation</w:t>
      </w:r>
      <w:r>
        <w:rPr/>
        <w:t xml:space="preserve">, 64 FERC ¶ 61,365, at 63,544 (1993) (rejecting the automatic reversion to a primary receipt point in the winter). Allowing shippers to reserve their original primary points, until the end of a release, creates an incentive for a few shippers to lock up valuable primary points. The case of </w:t>
      </w:r>
      <w:r>
        <w:rPr>
          <w:i/>
        </w:rPr>
        <w:t>Florida Gas Transmission Company</w:t>
      </w:r>
      <w:r>
        <w:rPr/>
        <w:t xml:space="preserve">, 65 FERC ¶ 61,336 at 62,587-88 (1993) </w:t>
      </w:r>
      <w:r>
        <w:rPr>
          <w:i/>
        </w:rPr>
        <w:t>(Florida Gas</w:t>
      </w:r>
      <w:r>
        <w:rPr/>
        <w:t xml:space="preserve">) is instructive.  There Florida Gas proposed the following: </w:t>
      </w:r>
    </w:p>
    <w:p>
      <w:pPr>
        <w:pStyle w:val="indent"/>
        <w:jc w:val="both"/>
        <w:rPr/>
      </w:pPr>
      <w:r>
        <w:rPr/>
        <w:t xml:space="preserve">Upon expiration of any relinquishment under this section 18E, Transporter shall return to Shipper all applicable relinquished capacity as such capacity exists upon expiration of the relinquishment.  If the Relinquishing Shipper permitted the Acquiring Shipper to change Primary Receipt and Delivery Points, then the capacity returned to Shipper at the expiration of a relinquishment will reflect any such changes.  If the Relinquishing Shipper did not permit changes to Primary Receipt and Delivery Points, the capacity returned to Shipper at the expiration of a relinquishment shall be identical to Shipper’s pre-relinquishment firm capacity rights. 65 FERC at 62,586 </w:t>
      </w:r>
    </w:p>
    <w:p>
      <w:pPr>
        <w:pStyle w:val="bodytext1"/>
        <w:jc w:val="both"/>
        <w:rPr/>
      </w:pPr>
      <w:r>
        <w:rPr/>
        <w:t>Peoples, a gas utility, objected arguing that a releasing shipper will not be able to allow a replacement shipper to temporarily change primary points, while reserving the right at the end of the release to take back capacity at the original points.  The pipeline responded that it could not reserve capacity for more than 30 days without derogating the flexibility and efficiency of its system and favoring replacement shippers over other potential future shippers, a point echoed by Florida Cities, also a gas utility.  The pipeline added that allowing shippers to retain points they are not using could tie up capacity well in excess of the original entitlement of the releasing shipper for extensive periods of times.  The pipeline said that the original shipper would hold its capacity at its chosen points, even though it could not use them, while a releasing held capacity at new points it had selected.  Moreover, if the first replacement shipper had re-released the capacity, a third party might have still other receipt and delivery points.  All this reserved capacity would then be off-limits in terms of primary entitlements for some future shipper who wants to use it.  The Commission agreed with the pipeline and Florida Cities saying:</w:t>
      </w:r>
    </w:p>
    <w:p>
      <w:pPr>
        <w:pStyle w:val="indent"/>
        <w:jc w:val="both"/>
        <w:rPr/>
      </w:pPr>
      <w:r>
        <w:rPr/>
        <w:t xml:space="preserve">This is a capacity constrained pipeline and we are concerned about the prospect of tying up multiple points for lengthy periods of time in conjunction with overlapping entitlements and periods.  65 FERC at 62,588. </w:t>
      </w:r>
    </w:p>
    <w:p>
      <w:pPr>
        <w:pStyle w:val="bodytext1"/>
        <w:jc w:val="both"/>
        <w:rPr/>
      </w:pPr>
      <w:r>
        <w:rPr/>
        <w:t>Under the Commission’s capacity release regulations, once a shipper releases a segment the releasing shipper loses its primary point rights during the term of the release.</w:t>
      </w:r>
      <w:r>
        <w:rPr>
          <w:rStyle w:val="FootnoteCharacters"/>
          <w:rStyle w:val="FootnoteReference"/>
          <w:sz w:val="24"/>
        </w:rPr>
        <w:footnoteReference w:id="10"/>
      </w:r>
      <w:r>
        <w:rPr/>
        <w:t xml:space="preserve">  This policy is premised on the notion that if the releasing shipper retains its rights at the original primary point, through the release process, the releasing and replacement shippers would hold more primary point capacity in the aggregate than the releasing shippers holds (and pays for) alone.</w:t>
      </w:r>
      <w:r>
        <w:rPr>
          <w:rStyle w:val="FootnoteCharacters"/>
          <w:rStyle w:val="FootnoteReference"/>
          <w:sz w:val="24"/>
        </w:rPr>
        <w:footnoteReference w:id="11"/>
      </w:r>
      <w:r>
        <w:rPr/>
        <w:t xml:space="preserve"> </w:t>
      </w:r>
    </w:p>
    <w:p>
      <w:pPr>
        <w:pStyle w:val="bodytext1"/>
        <w:jc w:val="both"/>
        <w:rPr/>
      </w:pPr>
      <w:r>
        <w:rPr/>
        <w:t xml:space="preserve">As the Commission said in </w:t>
      </w:r>
      <w:r>
        <w:rPr>
          <w:i/>
        </w:rPr>
        <w:t>Panhandle Eastern Pipe Line Company</w:t>
      </w:r>
      <w:r>
        <w:rPr/>
        <w:t xml:space="preserve">, 74 FERC ¶ 61,102; </w:t>
      </w:r>
      <w:r>
        <w:rPr>
          <w:i/>
        </w:rPr>
        <w:t xml:space="preserve">reh’g </w:t>
      </w:r>
      <w:r>
        <w:rPr/>
        <w:t xml:space="preserve">75 FERC ¶ 61, 084 (1996).  </w:t>
      </w:r>
      <w:r>
        <w:rPr>
          <w:i/>
        </w:rPr>
        <w:t>(Panhandle Eastern)</w:t>
      </w:r>
      <w:r>
        <w:rPr/>
        <w:t xml:space="preserve"> </w:t>
      </w:r>
    </w:p>
    <w:p>
      <w:pPr>
        <w:pStyle w:val="indent"/>
        <w:jc w:val="both"/>
        <w:rPr/>
      </w:pPr>
      <w:r>
        <w:rPr/>
        <w:t>Releasing firm shippers cannot sell more rights than they purchased from Panhandle.  To hold that releasing shippers may retain rights to return their existing primary points after their replacement shippers have moved to new primary points, would create rights for releasing shippers greater that those they hold under their existing contracts with Panhandle. 75 FERC at 61,257</w:t>
      </w:r>
    </w:p>
    <w:p>
      <w:pPr>
        <w:pStyle w:val="bodytext1"/>
        <w:jc w:val="both"/>
        <w:rPr/>
      </w:pPr>
      <w:r>
        <w:rPr/>
        <w:t xml:space="preserve">In </w:t>
      </w:r>
      <w:r>
        <w:rPr>
          <w:i/>
        </w:rPr>
        <w:t>Panhandle</w:t>
      </w:r>
      <w:r>
        <w:rPr/>
        <w:t>, the Commission specifically rejected the notion that firm capacity could be withheld to enhance the ability of shippers to release capacity.  Panhandle proposed a limited firm transportation service (LFT).  Firm capacity holders complained of the competition from LFT with their capacity release and the potential loss of a primary point that had been released.  Panhandle responded that Order No. 636 and its tariff provided that if a firm shipper changes primary receipt points and later seeks to regain that point, it may do so only if there is available capacity:</w:t>
      </w:r>
    </w:p>
    <w:p>
      <w:pPr>
        <w:pStyle w:val="indent"/>
        <w:jc w:val="both"/>
        <w:rPr/>
      </w:pPr>
      <w:r>
        <w:rPr/>
        <w:t>allowing releasing shippers that assign their primary points temporarily to a replacement shipper while guaranteeing the return of those points at the termination of the release would confer an undue advantage on a releasing shipper and would violate a fundamental premise of Order No. 636, “to promote maximum efficient usage of the pipeline system”</w:t>
      </w:r>
      <w:r>
        <w:rPr>
          <w:rStyle w:val="FootnoteCharacters"/>
          <w:rStyle w:val="FootnoteReference"/>
          <w:sz w:val="24"/>
        </w:rPr>
        <w:footnoteReference w:id="12"/>
      </w:r>
      <w:r>
        <w:rPr/>
        <w:t xml:space="preserve"> </w:t>
      </w:r>
    </w:p>
    <w:p>
      <w:pPr>
        <w:pStyle w:val="bodytext1"/>
        <w:jc w:val="both"/>
        <w:rPr/>
      </w:pPr>
      <w:r>
        <w:rPr/>
        <w:t xml:space="preserve">The pipeline argued that forcing it to reserve unused capacity on its system would prevent it from efficiently using its system and would deprive it of the opportunity to recover its cost of service.  On rehearing, the Commission came squarely down on the side of the pipeline.  The Commission said:  </w:t>
      </w:r>
    </w:p>
    <w:p>
      <w:pPr>
        <w:pStyle w:val="indent"/>
        <w:jc w:val="both"/>
        <w:rPr/>
      </w:pPr>
      <w:r>
        <w:rPr/>
        <w:t>The Commission gave a pipeline’s shippers the ability to release their unneeded capacity as a method by which the pipeline’s customers could gain added flexibility.  At the same time, the Commission did not guarantee that the pipeline would be restricted to a static core of services.  The LFT service, like Columbia’s OPT service, “can promote economic efficiency and enhance the efficient functioning of natural gas markets” by increasing Panhandle’s throughput to the benefit of all its customers.  While the LFT service may reduce the amount of capacity at secondary receipt points available to Panhandle’s releasing shippers, it provides potential shippers other options, such as the option to purchase service either from Panhandle or from a releasing firm shipper.  The Commission’s acceptance of Panhandle’s proposed LFT service is consistent with our goal that shippers have a variety of options for obtaining transportation service.  75 FERC at 61,256 (ft. note omitted).</w:t>
      </w:r>
    </w:p>
    <w:p>
      <w:pPr>
        <w:pStyle w:val="bodytext1"/>
        <w:jc w:val="both"/>
        <w:rPr/>
      </w:pPr>
      <w:r>
        <w:rPr/>
        <w:t>The Commission added:</w:t>
      </w:r>
    </w:p>
    <w:p>
      <w:pPr>
        <w:pStyle w:val="indent"/>
        <w:jc w:val="both"/>
        <w:rPr/>
      </w:pPr>
      <w:r>
        <w:rPr/>
        <w:t>Any sale of capacity by Panhandle, whether to a new LFT customer or to some other firm customer, will limit the amount of remaining firm capacity at primary points on Panhandle’s system.  This may well have the effect of reducing the number of primary points that replacement shippers can use, and thereby make released capacity less marketable.  However, this sale and the corresponding reduction in Panhandle inventory of remaining primary points is not anti-competitive.  Rather, it is a reflection of changing conditions on Panhandle’s system as it sells unused capacity.  As the number of remaining firm points decrease, both Panhandle and its releasing shippers have fewer options for sale to prospective customers.  The Commission sees no anti-competitive effect in this.  75 FERC at 61,257.</w:t>
      </w:r>
    </w:p>
    <w:p>
      <w:pPr>
        <w:pStyle w:val="bodytext1"/>
        <w:jc w:val="both"/>
        <w:rPr/>
      </w:pPr>
      <w:r>
        <w:rPr/>
        <w:t xml:space="preserve">The NOPR and the final rule did not resolve this issue as clearly as the </w:t>
      </w:r>
      <w:r>
        <w:rPr>
          <w:i/>
        </w:rPr>
        <w:t xml:space="preserve">Columbia, Florida Gas </w:t>
      </w:r>
      <w:r>
        <w:rPr/>
        <w:t xml:space="preserve">and </w:t>
      </w:r>
      <w:r>
        <w:rPr>
          <w:i/>
        </w:rPr>
        <w:t>Panhandle</w:t>
      </w:r>
      <w:r>
        <w:rPr/>
        <w:t xml:space="preserve"> decisions.  On rehearing the Commission should do so and clearly articulate that releasing shippers have a right to return to released primary points only if the capacity is available at that time.</w:t>
      </w:r>
    </w:p>
    <w:p>
      <w:pPr>
        <w:pStyle w:val="bodytext1"/>
        <w:jc w:val="both"/>
        <w:rPr/>
      </w:pPr>
      <w:r>
        <w:rPr/>
      </w:r>
    </w:p>
    <w:p>
      <w:pPr>
        <w:pStyle w:val="Heading1"/>
        <w:ind w:hanging="720" w:start="720" w:end="0"/>
        <w:jc w:val="both"/>
        <w:rPr/>
      </w:pPr>
      <w:r>
        <w:rPr/>
        <w:t>the commission should CLARIFY THAT: A. peak/off-peak rates MAY BE IMPLEMENTED BY SETTLEMENT; B. thAT THE REQUIRED COST AND REVENUE STUDY WILL FOCUS ON PEAK/Off-PEAK REVENUES in the Short-TERM MARKET; and C. PEAK/OFF-PEAK PRICING IS APPLICABLE TO MULTI-YEAR CONTRACTS WITH VARYING CONTRACT QUANTITIES.</w:t>
      </w:r>
    </w:p>
    <w:p>
      <w:pPr>
        <w:pStyle w:val="bodytext1"/>
        <w:jc w:val="both"/>
        <w:rPr/>
      </w:pPr>
      <w:r>
        <w:rPr/>
        <w:t>Order No. 637 clarifies the Commission’s longtime Rate Design Policy Statement</w:t>
      </w:r>
      <w:r>
        <w:rPr>
          <w:rStyle w:val="FootnoteCharacters"/>
          <w:rStyle w:val="FootnoteReference"/>
          <w:sz w:val="24"/>
        </w:rPr>
        <w:footnoteReference w:id="13"/>
      </w:r>
      <w:r>
        <w:rPr/>
        <w:t xml:space="preserve"> and permits peak/off-peak rates based “on value of service concepts, rather than specific costs”</w:t>
      </w:r>
      <w:r>
        <w:rPr>
          <w:rStyle w:val="FootnoteCharacters"/>
          <w:rStyle w:val="FootnoteReference"/>
          <w:sz w:val="24"/>
        </w:rPr>
        <w:footnoteReference w:id="14"/>
      </w:r>
      <w:r>
        <w:rPr/>
        <w:t xml:space="preserve">.  Pipelines are encouraged to file peak/off-peak pricing proposals as soon as possible.  The Commission rejects the notion that peak/off-peak rates can only be filed in a full Section 4 rate case.  Rather, the Commission allows pipelines to establish peak/off-peak rates through a </w:t>
      </w:r>
      <w:r>
        <w:rPr>
          <w:u w:val="single"/>
        </w:rPr>
        <w:t>pro</w:t>
      </w:r>
      <w:r>
        <w:rPr/>
        <w:t xml:space="preserve"> </w:t>
      </w:r>
      <w:r>
        <w:rPr>
          <w:u w:val="single"/>
        </w:rPr>
        <w:t>forma</w:t>
      </w:r>
      <w:r>
        <w:rPr/>
        <w:t xml:space="preserve"> tariff filing. </w:t>
      </w:r>
    </w:p>
    <w:p>
      <w:pPr>
        <w:pStyle w:val="bodytext1"/>
        <w:ind w:hanging="0" w:end="0"/>
        <w:jc w:val="both"/>
        <w:rPr/>
      </w:pPr>
      <w:r>
        <w:rPr>
          <w:b/>
        </w:rPr>
        <w:t>A.</w:t>
        <w:tab/>
        <w:t>INGAA requests clarification that the Commission did not intend to exclude the option of implementing peak/off-peak rates through settlement.</w:t>
      </w:r>
      <w:r>
        <w:rPr/>
        <w:t xml:space="preserve">  A number of pipelines are already in the midst of Section 4 rate cases, and others have entered into settlements that may prevent them from filing for rate changes until some future date.  Thus, the option of implementing peak/off-peak rates by settlement is a valuable alternative and in keeping with the Commission’s long established policy of favoring settlements.</w:t>
      </w:r>
      <w:r>
        <w:rPr>
          <w:rStyle w:val="FootnoteCharacters"/>
          <w:rStyle w:val="FootnoteReference"/>
          <w:sz w:val="24"/>
        </w:rPr>
        <w:footnoteReference w:id="15"/>
      </w:r>
      <w:r>
        <w:rPr/>
        <w:t xml:space="preserve"> It is also consistent with a pipeline’s need to work with its customers to develop the best method for setting peak/off-peak rates, given the specific characteristics of each pipeline. </w:t>
      </w:r>
    </w:p>
    <w:p>
      <w:pPr>
        <w:pStyle w:val="bodytext1"/>
        <w:jc w:val="both"/>
        <w:rPr/>
      </w:pPr>
      <w:r>
        <w:rPr/>
        <w:t xml:space="preserve">Although some parties will doubtless argue that peak/off-peak rates ought not to be implemented outside of a full Section 4 rate case, they fail to consider that peak/off-peak rates may reduce the level of the discount adjustment in future rate cases.  Reducing the level of discount adjustments in future cases, plus the possibility of sharing excess seasonal revenues, will benefit long-term customers immediately.  Implementing peak/off-peak rates only in a full Section 4 rate case, on the other hand, will fix the discount adjustment at present levels, and inordinately delay benefits to long-term customers. The Commission should clarify that peak/off-peak rates may be implemented by settlement, as well as by a </w:t>
      </w:r>
      <w:r>
        <w:rPr>
          <w:i/>
        </w:rPr>
        <w:t>pro forma</w:t>
      </w:r>
      <w:r>
        <w:rPr/>
        <w:t xml:space="preserve"> tariff filing.</w:t>
      </w:r>
    </w:p>
    <w:p>
      <w:pPr>
        <w:pStyle w:val="bodytext1"/>
        <w:ind w:hanging="0" w:end="0"/>
        <w:jc w:val="both"/>
        <w:rPr/>
      </w:pPr>
      <w:r>
        <w:rPr>
          <w:b/>
        </w:rPr>
        <w:t>B.</w:t>
        <w:tab/>
        <w:t>INGAA seeks clarification that the cost and revenue study will focus on the revenues generated by peak/off-peak pricing for short-term services, not on the previously established cost of service for long-term service.</w:t>
      </w:r>
      <w:r>
        <w:rPr>
          <w:rStyle w:val="FootnoteCharacters"/>
          <w:rStyle w:val="FootnoteReference"/>
          <w:b/>
        </w:rPr>
        <w:footnoteReference w:id="16"/>
      </w:r>
      <w:r>
        <w:rPr>
          <w:b/>
        </w:rPr>
        <w:t xml:space="preserve">  </w:t>
      </w:r>
    </w:p>
    <w:p>
      <w:pPr>
        <w:pStyle w:val="bodytext1"/>
        <w:jc w:val="both"/>
        <w:rPr/>
      </w:pPr>
      <w:r>
        <w:rPr/>
        <w:t>Essentially, peak/off-peak pricing uses several non-cost criteria to reallocate a pipeline’s existing annual revenue requirement.  Peak/off-peak pricing is not intended to change the underlying cost of service.</w:t>
      </w:r>
      <w:r>
        <w:rPr>
          <w:rStyle w:val="FootnoteCharacters"/>
          <w:rStyle w:val="FootnoteReference"/>
          <w:sz w:val="24"/>
        </w:rPr>
        <w:footnoteReference w:id="17"/>
      </w:r>
      <w:r>
        <w:rPr/>
        <w:t xml:space="preserve">   Nor, will peak/off-peak pricing change long-term rates, other than to reduce the level of future discount adjustments. Therefore, the cost and revenue study should focus on correctly identifying any revenues in excess of the annual revenue requirement that are attributable to peak/off-peak pricing for related short-term services. </w:t>
      </w:r>
    </w:p>
    <w:p>
      <w:pPr>
        <w:pStyle w:val="bodytext1"/>
        <w:ind w:hanging="0" w:end="0"/>
        <w:jc w:val="both"/>
        <w:rPr/>
      </w:pPr>
      <w:r>
        <w:rPr>
          <w:b/>
        </w:rPr>
        <w:t>C.</w:t>
        <w:tab/>
        <w:t>INGAA requests clarification that peak/off-peak pricing may be applicable to multi-year contracts for consecutive months, with different contract quantities.</w:t>
      </w:r>
      <w:r>
        <w:rPr/>
        <w:t xml:space="preserve">  The final rule permits pipelines to institute peak/off-peak rates for all short-term services and in footnote 127 the Commission adds the following:</w:t>
      </w:r>
    </w:p>
    <w:p>
      <w:pPr>
        <w:pStyle w:val="indent"/>
        <w:jc w:val="both"/>
        <w:rPr/>
      </w:pPr>
      <w:r>
        <w:rPr/>
        <w:t>If a shipper contracts for capacity for certain months of the year, over a period of several years, but service is not continuous for every month of the year, the contract is similar to several short-term contracts, rather than to a long-term contract of a year or more, where the shipper purchases capacity in consecutive months during peak and off-peak periods.</w:t>
      </w:r>
      <w:r>
        <w:rPr>
          <w:rStyle w:val="FootnoteCharacters"/>
          <w:rStyle w:val="FootnoteReference"/>
          <w:sz w:val="24"/>
        </w:rPr>
        <w:footnoteReference w:id="18"/>
      </w:r>
    </w:p>
    <w:p>
      <w:pPr>
        <w:pStyle w:val="bodytext1"/>
        <w:jc w:val="both"/>
        <w:rPr/>
      </w:pPr>
      <w:r>
        <w:rPr/>
        <w:t xml:space="preserve">Similarly the Commission should allow seasonal pricing for contracts that may be longer than 12 months but with varying maximum daily quantities (MDQ).  This clarification is consistent with the goal of the final rule, </w:t>
      </w:r>
      <w:r>
        <w:rPr>
          <w:i/>
        </w:rPr>
        <w:t>i.e.</w:t>
      </w:r>
      <w:r>
        <w:rPr/>
        <w:t xml:space="preserve"> to improve allocative efficiency by pricing service during peak and off-peak periods to reflect the value of that service. Although the contract may be considered long term because it covers more than 12 months, a contract with varying MDQs reflects the changing demand for natural gas service during various parts of an individual year. Thus, peak/off-peak pricing should be available for contracts of more than 12 months but with varying MDQs</w:t>
      </w:r>
      <w:r>
        <w:rPr>
          <w:b/>
          <w:u w:val="single"/>
        </w:rPr>
        <w:t>.</w:t>
      </w:r>
    </w:p>
    <w:p>
      <w:pPr>
        <w:pStyle w:val="Heading1"/>
        <w:ind w:hanging="720" w:start="720" w:end="0"/>
        <w:jc w:val="both"/>
        <w:rPr/>
      </w:pPr>
      <w:r>
        <w:rPr/>
        <w:t>the commission should ALLOW PARTIES TO IMPLEMENT teRm differentiated rates BY SETTLEMENT and SHOULD CLARIFY THAT Peak/Off-Peak rates FOR SHORT-TERM SERVICES MAY ALSO REFLECT THE LENGTH OF CONTRACT</w:t>
      </w:r>
    </w:p>
    <w:p>
      <w:pPr>
        <w:pStyle w:val="bodytext1"/>
        <w:ind w:hanging="0" w:end="0"/>
        <w:jc w:val="both"/>
        <w:rPr/>
      </w:pPr>
      <w:r>
        <w:rPr>
          <w:b/>
        </w:rPr>
        <w:t>A.</w:t>
        <w:tab/>
      </w:r>
      <w:r>
        <w:rPr/>
        <w:t>In the final rule, the Commission states that pipelines’ may employ a Section 4 filing to propose term differentiated rates for long-term services or for both short and long-term services.  The Commission has long had a policy favoring settlements.  That policy should apply equally to the implementation of term differentiated rates, as well as to peak/off-peak rates.</w:t>
      </w:r>
      <w:r>
        <w:rPr>
          <w:rStyle w:val="FootnoteCharacters"/>
          <w:rStyle w:val="FootnoteReference"/>
          <w:sz w:val="24"/>
        </w:rPr>
        <w:footnoteReference w:id="19"/>
      </w:r>
      <w:r>
        <w:rPr/>
        <w:t xml:space="preserve"> </w:t>
      </w:r>
    </w:p>
    <w:p>
      <w:pPr>
        <w:pStyle w:val="bodytext1"/>
        <w:ind w:hanging="0" w:end="0"/>
        <w:jc w:val="both"/>
        <w:rPr/>
      </w:pPr>
      <w:r>
        <w:rPr>
          <w:b/>
        </w:rPr>
        <w:t>B.</w:t>
        <w:tab/>
      </w:r>
      <w:r>
        <w:rPr/>
        <w:t xml:space="preserve">The term of service, under a short-term contract, could also be used to allocate a pipeline’s annual revenue requirement. As such, the Commission should be flexible to proposals that charge more for very short-term service during specific periods, </w:t>
      </w:r>
      <w:r>
        <w:rPr>
          <w:i/>
        </w:rPr>
        <w:t>e.g.</w:t>
      </w:r>
      <w:r>
        <w:rPr/>
        <w:t xml:space="preserve"> an entire winter heating season or storage injection season. Such proposals should be allowed within the context of the</w:t>
      </w:r>
      <w:r>
        <w:rPr>
          <w:i/>
        </w:rPr>
        <w:t xml:space="preserve"> pro forma </w:t>
      </w:r>
      <w:r>
        <w:rPr/>
        <w:t>tariff procedure provided for peak/off-peak pricing.</w:t>
      </w:r>
    </w:p>
    <w:p>
      <w:pPr>
        <w:pStyle w:val="Heading1"/>
        <w:tabs>
          <w:tab w:val="left" w:pos="8640" w:leader="none"/>
          <w:tab w:val="left" w:pos="9450" w:leader="none"/>
        </w:tabs>
        <w:ind w:hanging="720" w:start="720" w:end="0"/>
        <w:jc w:val="both"/>
        <w:rPr/>
      </w:pPr>
      <w:r>
        <w:rPr>
          <w:caps w:val="false"/>
          <w:smallCaps w:val="false"/>
        </w:rPr>
        <w:t>T</w:t>
      </w:r>
      <w:r>
        <w:rPr/>
        <w:t>he commission should expeditiously IMPLEMENT new tariff services AND PERMIT NON-CONFORMING SERVICE AGREEMENTS EXPEDITIOUSLY WHERE THERE IS NO UNDUE DISCRIMINATION OR DEGRADATION OF EXISTING SerVICE</w:t>
      </w:r>
    </w:p>
    <w:p>
      <w:pPr>
        <w:pStyle w:val="bodytext1"/>
        <w:jc w:val="both"/>
        <w:rPr/>
      </w:pPr>
      <w:r>
        <w:rPr/>
        <w:t>Obviously, INGAA is disappointed that the Commission has rejected, for now, the proposal for self-implementing terms and conditions of service jointly supported by INGAA and the American Gas Association (AGA).</w:t>
      </w:r>
      <w:r>
        <w:rPr>
          <w:rStyle w:val="FootnoteCharacters"/>
          <w:rStyle w:val="FootnoteReference"/>
          <w:sz w:val="24"/>
        </w:rPr>
        <w:footnoteReference w:id="20"/>
      </w:r>
      <w:r>
        <w:rPr/>
        <w:t xml:space="preserve">  In the wake of Order No. 636, pipeline tariffs primarily provided high-quality no-notice and other services for distributors.  But now that state unbundling initiatives are changing distributors’ load profiles, pipelines need the ability to respond to diverse shippers’ needs for tailored services.  Gas-fired electric generators want a share of pipeline services too.  In short, pipelines need new services for new needs.   </w:t>
      </w:r>
    </w:p>
    <w:p>
      <w:pPr>
        <w:pStyle w:val="bodytext1"/>
        <w:jc w:val="both"/>
        <w:rPr/>
      </w:pPr>
      <w:r>
        <w:rPr/>
        <w:t xml:space="preserve">Pipelines and AGA have supported flexibility to negotiate terms and conditions of service with a new shipper, and the ability to implement those agreements, subject to notice, protest and the Commission’s expedited complaint process.  Some shippers, however, continue to have concerns about self-implementing services.  Nevertheless, the market must move forward.  </w:t>
      </w:r>
    </w:p>
    <w:p>
      <w:pPr>
        <w:pStyle w:val="bodytext1"/>
        <w:jc w:val="both"/>
        <w:rPr/>
      </w:pPr>
      <w:r>
        <w:rPr/>
        <w:t>Therefore, pipelines agree at this time that new service offerings should be made by filing tariffs or non-conforming service agreements, so long as the filings can be approved expeditiously if no party demonstrates degradation of an existing service or undue discrimination. However, the Commission should clearly state in the order on rehearing that (a) continued service innovation is a desirable goal for the industry and (b) filings for new, flexible tariff services and non-conforming service agreements will be approved expeditiously if there is no proof of degradation of existing service or undue discrimination.</w:t>
      </w:r>
    </w:p>
    <w:p>
      <w:pPr>
        <w:pStyle w:val="bodytext1"/>
        <w:jc w:val="both"/>
        <w:rPr/>
      </w:pPr>
      <w:r>
        <w:rPr/>
        <w:t>Thus, INGAA is very concerned that language in Order No. 637 may create a barrier to contracts for flexible services:</w:t>
      </w:r>
    </w:p>
    <w:p>
      <w:pPr>
        <w:pStyle w:val="indent"/>
        <w:jc w:val="both"/>
        <w:rPr/>
      </w:pPr>
      <w:r>
        <w:rPr/>
        <w:t xml:space="preserve">To the extent that pipelines, in certain circumstances, find that they are </w:t>
      </w:r>
      <w:r>
        <w:rPr>
          <w:b/>
        </w:rPr>
        <w:t>unable to file an</w:t>
      </w:r>
      <w:r>
        <w:rPr>
          <w:i/>
        </w:rPr>
        <w:t xml:space="preserve"> </w:t>
      </w:r>
      <w:r>
        <w:rPr>
          <w:b/>
        </w:rPr>
        <w:t>open access tariff-based service</w:t>
      </w:r>
      <w:r>
        <w:rPr/>
        <w:t xml:space="preserve"> to accommodate particular needs, and that </w:t>
      </w:r>
      <w:r>
        <w:rPr>
          <w:b/>
        </w:rPr>
        <w:t>individual negotiation is the only feasible method</w:t>
      </w:r>
      <w:r>
        <w:rPr/>
        <w:t xml:space="preserve"> of providing service to a particular shipper, the pipeline is still permitted under the Commission’s regulations to file a non-conforming contract with the Commission.  (emphasis added)</w:t>
      </w:r>
      <w:r>
        <w:rPr>
          <w:rStyle w:val="FootnoteCharacters"/>
          <w:rStyle w:val="FootnoteReference"/>
          <w:sz w:val="24"/>
        </w:rPr>
        <w:footnoteReference w:id="21"/>
      </w:r>
    </w:p>
    <w:p>
      <w:pPr>
        <w:pStyle w:val="bodytext1"/>
        <w:jc w:val="both"/>
        <w:rPr/>
      </w:pPr>
      <w:r>
        <w:rPr/>
        <w:t>The emphasized language could be read to mean that the Commission will not accept a non-conforming service agreement unless the Commission finds that the pipeline was unable to file a tariff for the service or that negotiation was the only feasible way of providing service to the shipper.  If so, the Commission has created a new and much stricter standard for terms and conditions of service, which is inconsistent with the Commission’s policy of allowing negotiated rates.  On rehearing, the Commission should clarify that the final rule did not change the Commission’s current policies on the ability to file non-conforming service agreements or the Commission’s standard for reviewing such filings.</w:t>
      </w:r>
    </w:p>
    <w:p>
      <w:pPr>
        <w:pStyle w:val="Heading1"/>
        <w:ind w:hanging="720" w:start="720" w:end="0"/>
        <w:jc w:val="both"/>
        <w:rPr/>
      </w:pPr>
      <w:r>
        <w:rPr/>
        <w:t>On reporting, the commission should: A. set a date certain for updating organizational charts; B. ClarifY that PIPELINES ARE REQUIRED TO IDENTIFY THEIR OWN, BUT NOT THEIR CUSTOMERS’ AFFILIATES; AND C. CLARIFY THAT TRANSPORTATION CONTRACTS FOR NEW CONSTRUCTION ARE TO BE REPORTED WHEN SERVICE BEGINS.</w:t>
      </w:r>
    </w:p>
    <w:p>
      <w:pPr>
        <w:pStyle w:val="bodytext1"/>
        <w:ind w:hanging="0" w:end="0"/>
        <w:jc w:val="both"/>
        <w:rPr/>
      </w:pPr>
      <w:r>
        <w:rPr>
          <w:b/>
        </w:rPr>
        <w:t>A.</w:t>
        <w:tab/>
        <w:t>Updates to comprehensive organizational charts should be required on the first business day of each quarter.</w:t>
      </w:r>
      <w:r>
        <w:rPr/>
        <w:t xml:space="preserve">  The final rule requires pipelines to post and update, within three days, any change in; (a) the list of operating personnel and facilities shared by the pipeline and its marketing affiliate and (b) a comprehensive organizational chart showing (i) the organizational structure of the parent corporation with the relative position in the corporate structure of the pipeline and all marketing affiliates; (ii) for the pipeline, the business units, job titles and descriptions</w:t>
      </w:r>
      <w:r>
        <w:rPr>
          <w:rStyle w:val="FootnoteCharacters"/>
          <w:rStyle w:val="FootnoteReference"/>
          <w:sz w:val="24"/>
        </w:rPr>
        <w:footnoteReference w:id="22"/>
      </w:r>
      <w:r>
        <w:rPr/>
        <w:t xml:space="preserve">, and chain of command for all positions, including officers and directors, with the exception of clerical, maintenance and field positions and (iii) for all employees shared by the pipeline and a marketing affiliate, the business unit within the marketing affiliates organizational structure in which the employee is located, the employee’s name, job title and job description in the marketing affiliate, and the employee’s position within the chain of command of the marketing affiliate.  </w:t>
      </w:r>
    </w:p>
    <w:p>
      <w:pPr>
        <w:pStyle w:val="bodytext1"/>
        <w:jc w:val="both"/>
        <w:rPr/>
      </w:pPr>
      <w:r>
        <w:rPr/>
        <w:t>The Commission states that similar reporting requirements have been imposed on electric utilities.  INGAA objects. The Commission does not have a three-day requirement for electric utilities, which are merely required to update charts and job descriptions “as changes occur”</w:t>
      </w:r>
      <w:r>
        <w:rPr>
          <w:rStyle w:val="FootnoteCharacters"/>
          <w:rStyle w:val="FootnoteReference"/>
          <w:sz w:val="24"/>
        </w:rPr>
        <w:footnoteReference w:id="23"/>
      </w:r>
      <w:r>
        <w:rPr/>
        <w:t xml:space="preserve">. Moreover, natural gas pipelines do not provide a commodity sales service similar to the retail electric service that most electric utilities continue to offer and pipeline operations are not intertwined between a wholesale transmission service and a retail commodity service. The Commission recently recognized this distinction in Order No. 2000 (citation). </w:t>
      </w:r>
    </w:p>
    <w:p>
      <w:pPr>
        <w:pStyle w:val="bodytext1"/>
        <w:spacing w:lineRule="auto" w:line="480"/>
        <w:jc w:val="both"/>
        <w:rPr/>
      </w:pPr>
      <w:r>
        <w:rPr/>
        <w:t>INGAA particularly objects because three days is too little time to update organizational charts and the detailed personnel information listed in (b) above.</w:t>
      </w:r>
      <w:r>
        <w:rPr>
          <w:rStyle w:val="FootnoteCharacters"/>
          <w:rStyle w:val="FootnoteReference"/>
          <w:sz w:val="24"/>
        </w:rPr>
        <w:footnoteReference w:id="24"/>
      </w:r>
      <w:r>
        <w:rPr/>
        <w:t xml:space="preserve"> Interstate pipelines, like any major corporation today, are constantly reorganizing their personnel and corporate structure to operate more efficiently and cost-effectively.  Requiring an update within three days of </w:t>
      </w:r>
      <w:r>
        <w:rPr>
          <w:b/>
          <w:u w:val="single"/>
        </w:rPr>
        <w:t>any</w:t>
      </w:r>
      <w:r>
        <w:rPr/>
        <w:t xml:space="preserve"> change would require daily updating of organizational charts in large corporations and is a waste of resources. </w:t>
      </w:r>
    </w:p>
    <w:p>
      <w:pPr>
        <w:pStyle w:val="bodytext1"/>
        <w:spacing w:lineRule="auto" w:line="480"/>
        <w:jc w:val="both"/>
        <w:rPr/>
      </w:pPr>
      <w:r>
        <w:rPr/>
        <w:t>INGAA recommends that the Commission require updated information on pipeline organizational structure and operating personnel (</w:t>
      </w:r>
      <w:r>
        <w:rPr>
          <w:i/>
        </w:rPr>
        <w:t>see b. above</w:t>
      </w:r>
      <w:r>
        <w:rPr/>
        <w:t>) on the first working day of each quarter. This recommendation will reduce the pipeline resources that would be wasted on daily updates and reduce the cost and burden of reporting.  At the same time, the Commission and shippers will continue to have, within three days, information on the list of facilities and operating personnel shared between the pipeline and a marketing affiliate, if any.</w:t>
      </w:r>
    </w:p>
    <w:p>
      <w:pPr>
        <w:pStyle w:val="Normal"/>
        <w:spacing w:lineRule="auto" w:line="480"/>
        <w:jc w:val="both"/>
        <w:rPr/>
      </w:pPr>
      <w:r>
        <w:rPr>
          <w:b/>
        </w:rPr>
        <w:t>B.</w:t>
        <w:tab/>
        <w:t>The Commission should clarify that pipelines are required to identify their own, but not their customers’ affiliates in the Firm Transportation Report.</w:t>
      </w:r>
      <w:r>
        <w:rPr/>
        <w:t xml:space="preserve"> In response to comments on RM98-10-000, the Commission deleted the proposal that pipelines report the affiliate relationships of their shippers; saying:  </w:t>
      </w:r>
    </w:p>
    <w:p>
      <w:pPr>
        <w:pStyle w:val="BodyText"/>
        <w:spacing w:lineRule="auto" w:line="240"/>
        <w:ind w:start="720" w:end="810"/>
        <w:rPr>
          <w:rFonts w:ascii="Times New Roman" w:hAnsi="Times New Roman" w:cs="Times New Roman"/>
          <w:sz w:val="24"/>
        </w:rPr>
      </w:pPr>
      <w:r>
        <w:rPr>
          <w:rFonts w:cs="Times New Roman" w:ascii="Times New Roman" w:hAnsi="Times New Roman"/>
          <w:sz w:val="24"/>
        </w:rPr>
        <w:t>As a result of these comments, the Commission has reconsidered its proposal to require the reporting of third-party affiliates.  The Commission agrees with the commenters that it may not be feasible for pipelines to accurately identify their customers’ affiliates.  Therefore, the Commission is requiring that pipelines identify only their own affiliates, and not affiliate relationships among customers. Slip op. at 194.</w:t>
      </w:r>
    </w:p>
    <w:p>
      <w:pPr>
        <w:pStyle w:val="BodyText"/>
        <w:spacing w:lineRule="auto" w:line="240"/>
        <w:ind w:start="720" w:end="810"/>
        <w:rPr>
          <w:rFonts w:ascii="Times New Roman" w:hAnsi="Times New Roman" w:cs="Times New Roman"/>
          <w:sz w:val="24"/>
        </w:rPr>
      </w:pPr>
      <w:r>
        <w:rPr>
          <w:rFonts w:cs="Times New Roman" w:ascii="Times New Roman" w:hAnsi="Times New Roman"/>
          <w:sz w:val="24"/>
        </w:rPr>
      </w:r>
    </w:p>
    <w:p>
      <w:pPr>
        <w:pStyle w:val="Normal"/>
        <w:spacing w:lineRule="auto" w:line="480"/>
        <w:ind w:firstLine="720" w:end="0"/>
        <w:jc w:val="both"/>
        <w:rPr/>
      </w:pPr>
      <w:r>
        <w:rPr/>
        <w:t xml:space="preserve">INGAA suggests that the Commission add a phrase to new Section 284.13 (b) (ix) to clarify that pipelines are required to report only their own affiliate relationships.  Thus, the section would read:  “Whether there is an affiliate relationship between the pipeline and the shipper or between </w:t>
      </w:r>
      <w:r>
        <w:rPr>
          <w:b/>
        </w:rPr>
        <w:t xml:space="preserve">the pipeline and </w:t>
      </w:r>
      <w:r>
        <w:rPr/>
        <w:t>the releasing and replacement shipper.” The suggested revision is similar to revised Section 284.13 (c) (ix), which reads: “Any affiliate relationship between the pipeline and a shipper or between</w:t>
      </w:r>
      <w:r>
        <w:rPr>
          <w:b/>
        </w:rPr>
        <w:t xml:space="preserve"> the pipeline and</w:t>
      </w:r>
      <w:r>
        <w:rPr/>
        <w:t xml:space="preserve"> a shipper’s asset manager or agent”(emphasis supplied).</w:t>
      </w:r>
    </w:p>
    <w:p>
      <w:pPr>
        <w:pStyle w:val="Normal"/>
        <w:numPr>
          <w:ilvl w:val="0"/>
          <w:numId w:val="3"/>
        </w:numPr>
        <w:spacing w:lineRule="auto" w:line="480"/>
        <w:jc w:val="both"/>
        <w:rPr/>
      </w:pPr>
      <w:r>
        <w:rPr>
          <w:b/>
        </w:rPr>
        <w:t>The Commission should clarify that transportation contracts for new construction are to be reported when service commences.</w:t>
      </w:r>
      <w:r>
        <w:rPr/>
        <w:t xml:space="preserve">  The Commission’s new firm transportation report requires pipelines to report firm transportation contracts “contemporaneously with the execution or revision of a contract for service”, Section 284.13 (b) (1).  INGAA believes that contracts for service on facilities that are not yet constructed, or in service, should not be reported upon execution because no gas is flowing or can flow until the facilities are in service.  The appropriate time to report these firm transportation contracts is when service commences on the newly constructed facilities.</w:t>
      </w:r>
      <w:r>
        <w:br w:type="page"/>
      </w:r>
    </w:p>
    <w:p>
      <w:pPr>
        <w:pStyle w:val="Heading1"/>
        <w:ind w:hanging="720" w:start="720" w:end="0"/>
        <w:jc w:val="both"/>
        <w:rPr/>
      </w:pPr>
      <w:r>
        <w:rPr/>
        <w:t>The Commission has substantially revised its reporting requirements and needs to co-ordinate with GISB.</w:t>
      </w:r>
    </w:p>
    <w:p>
      <w:pPr>
        <w:pStyle w:val="BodyTextIndent"/>
        <w:spacing w:lineRule="auto" w:line="240"/>
        <w:ind w:hanging="0" w:end="0"/>
        <w:rPr/>
      </w:pPr>
      <w:r>
        <w:rPr/>
      </w:r>
    </w:p>
    <w:p>
      <w:pPr>
        <w:pStyle w:val="BodyTextIndent"/>
        <w:rPr/>
      </w:pPr>
      <w:r>
        <w:rPr/>
        <w:t xml:space="preserve">The final rule requires pipelines to file a new electronic Index of Customers and post the new reports by September 1, 2000.  As the Commission concedes, the primary burden of the new requirements will be in creating new formats for displaying the information on the pipelines’ Internet web sites.  GISB will be responsible for developing the standards for presenting the information on the pipelines’ web sites and for establishing other file formats. </w:t>
      </w:r>
    </w:p>
    <w:p>
      <w:pPr>
        <w:pStyle w:val="Normal"/>
        <w:spacing w:lineRule="auto" w:line="480"/>
        <w:ind w:firstLine="360" w:end="0"/>
        <w:jc w:val="both"/>
        <w:rPr/>
      </w:pPr>
      <w:r>
        <w:rPr/>
        <w:t xml:space="preserve">GISB is very busy with other efforts to foster electronic communication in the gas industry, and perhaps in the retail sector as well.  The Commission appropriately recognizes that with GISB’s full agenda, September 1, 2000 is an ambitious date.  </w:t>
      </w:r>
    </w:p>
    <w:p>
      <w:pPr>
        <w:pStyle w:val="BodyTextIndent"/>
        <w:rPr/>
      </w:pPr>
      <w:r>
        <w:rPr/>
        <w:t xml:space="preserve">The Information Technology staffs of pipelines, who worked very hard and successfully to develop and test Y2K compliant systems, will also be busy through September 1, 2000 complying with this rule as well as completing the transfer of data from their EBBs to the Internet.  INGAA cannot see the justification for diverting precious time and resources to provide these reports in a non-standardized format, by September1, when additional resources will then later be needed to comply with the GISB formats.  At the same time, INGAA appreciates the Commission’s need for information on transactions during the next winter heating season.  </w:t>
      </w:r>
    </w:p>
    <w:p>
      <w:pPr>
        <w:pStyle w:val="Normal"/>
        <w:spacing w:lineRule="auto" w:line="480"/>
        <w:ind w:firstLine="360" w:end="0"/>
        <w:jc w:val="both"/>
        <w:rPr/>
      </w:pPr>
      <w:r>
        <w:rPr/>
        <w:t>With that in mind, INGAA requests that GISB be permitted to keep the Commission apprised of its progress in developing these formats, should a short extension of time be necessary.  This will give GISB the time to complete its work but, if the GISB formats are not completed, still ensure the Commission that the information it needs to monitor transactions at the start of the winter heating season with be forthcoming.</w:t>
      </w:r>
    </w:p>
    <w:p>
      <w:pPr>
        <w:pStyle w:val="Heading1"/>
        <w:tabs>
          <w:tab w:val="clear" w:pos="8640"/>
          <w:tab w:val="left" w:pos="9450" w:leader="none"/>
        </w:tabs>
        <w:spacing w:lineRule="auto" w:line="480" w:before="0" w:after="0"/>
        <w:ind w:hanging="720" w:start="720" w:end="0"/>
        <w:jc w:val="both"/>
        <w:rPr/>
      </w:pPr>
      <w:r>
        <w:rPr/>
        <w:t>conclusion</w:t>
      </w:r>
    </w:p>
    <w:p>
      <w:pPr>
        <w:pStyle w:val="Normal"/>
        <w:spacing w:lineRule="auto" w:line="480"/>
        <w:ind w:firstLine="360" w:start="360" w:end="0"/>
        <w:jc w:val="both"/>
        <w:rPr/>
      </w:pPr>
      <w:r>
        <w:rPr/>
        <w:t>The Commission should grant clarification or rehearing as expeditiously as possible so that the natural gas industry can quickly and efficiently implement Order No. 637.</w:t>
      </w:r>
    </w:p>
    <w:p>
      <w:pPr>
        <w:pStyle w:val="Normal"/>
        <w:spacing w:lineRule="auto" w:line="240"/>
        <w:ind w:firstLine="360" w:start="360" w:end="0"/>
        <w:jc w:val="both"/>
        <w:rPr/>
      </w:pPr>
      <w:r>
        <w:rPr/>
      </w:r>
    </w:p>
    <w:p>
      <w:pPr>
        <w:pStyle w:val="Normal"/>
        <w:spacing w:lineRule="auto" w:line="240"/>
        <w:ind w:start="5760" w:end="0"/>
        <w:rPr/>
      </w:pPr>
      <w:r>
        <w:rPr/>
        <w:t>INTERSTATE NATURAL GAS ASSOCIATION OF AMERICA</w:t>
      </w:r>
    </w:p>
    <w:p>
      <w:pPr>
        <w:pStyle w:val="Normal"/>
        <w:spacing w:lineRule="auto" w:line="240"/>
        <w:ind w:start="5760" w:end="0"/>
        <w:rPr/>
      </w:pPr>
      <w:r>
        <w:rPr/>
      </w:r>
    </w:p>
    <w:p>
      <w:pPr>
        <w:pStyle w:val="Normal"/>
        <w:spacing w:lineRule="auto" w:line="240"/>
        <w:ind w:start="5760" w:end="0"/>
        <w:rPr/>
      </w:pPr>
      <w:r>
        <w:rPr/>
        <w:t>Respectfully submitted,</w:t>
      </w:r>
    </w:p>
    <w:p>
      <w:pPr>
        <w:pStyle w:val="Normal"/>
        <w:spacing w:lineRule="auto" w:line="240"/>
        <w:ind w:start="5760" w:end="0"/>
        <w:rPr/>
      </w:pPr>
      <w:r>
        <w:rPr/>
      </w:r>
    </w:p>
    <w:p>
      <w:pPr>
        <w:pStyle w:val="Normal"/>
        <w:tabs>
          <w:tab w:val="clear" w:pos="720"/>
          <w:tab w:val="left" w:pos="5400" w:leader="none"/>
        </w:tabs>
        <w:spacing w:lineRule="auto" w:line="240"/>
        <w:rPr/>
      </w:pPr>
      <w:r>
        <w:rPr/>
        <w:t>March 10, 2000</w:t>
        <w:tab/>
        <w:t>By:</w:t>
      </w:r>
    </w:p>
    <w:p>
      <w:pPr>
        <w:pStyle w:val="Normal"/>
        <w:spacing w:lineRule="auto" w:line="240"/>
        <w:ind w:start="5760" w:end="0"/>
        <w:rPr/>
      </w:pPr>
      <w:r>
        <w:rPr/>
        <w:t>___________________________</w:t>
      </w:r>
    </w:p>
    <w:p>
      <w:pPr>
        <w:pStyle w:val="Normal"/>
        <w:spacing w:lineRule="auto" w:line="240"/>
        <w:ind w:start="5760" w:end="0"/>
        <w:jc w:val="both"/>
        <w:rPr/>
      </w:pPr>
      <w:r>
        <w:rPr/>
        <w:t>S. Lorraine Cross</w:t>
      </w:r>
    </w:p>
    <w:p>
      <w:pPr>
        <w:pStyle w:val="Normal"/>
        <w:spacing w:lineRule="auto" w:line="240"/>
        <w:ind w:start="5760" w:end="0"/>
        <w:jc w:val="both"/>
        <w:rPr/>
      </w:pPr>
      <w:r>
        <w:rPr/>
        <w:t>Senior Vice President</w:t>
      </w:r>
    </w:p>
    <w:p>
      <w:pPr>
        <w:pStyle w:val="Normal"/>
        <w:spacing w:lineRule="auto" w:line="240"/>
        <w:ind w:start="5760" w:end="0"/>
        <w:jc w:val="both"/>
        <w:rPr/>
      </w:pPr>
      <w:r>
        <w:rPr/>
        <w:t>Interstate Natural Gas Association</w:t>
      </w:r>
    </w:p>
    <w:p>
      <w:pPr>
        <w:pStyle w:val="Normal"/>
        <w:spacing w:lineRule="auto" w:line="240"/>
        <w:ind w:start="5760" w:end="0"/>
        <w:jc w:val="both"/>
        <w:rPr/>
      </w:pPr>
      <w:r>
        <w:rPr/>
        <w:t xml:space="preserve">   </w:t>
      </w:r>
      <w:r>
        <w:rPr/>
        <w:t>of America</w:t>
      </w:r>
    </w:p>
    <w:p>
      <w:pPr>
        <w:pStyle w:val="Normal"/>
        <w:spacing w:lineRule="auto" w:line="240"/>
        <w:ind w:start="5760" w:end="0"/>
        <w:jc w:val="both"/>
        <w:rPr/>
      </w:pPr>
      <w:r>
        <w:rPr/>
        <w:t>Suite 700</w:t>
      </w:r>
    </w:p>
    <w:p>
      <w:pPr>
        <w:pStyle w:val="Normal"/>
        <w:spacing w:lineRule="auto" w:line="240"/>
        <w:ind w:start="5760" w:end="0"/>
        <w:jc w:val="both"/>
        <w:rPr/>
      </w:pPr>
      <w:r>
        <w:rPr/>
        <w:t>10 G Street, N.E.</w:t>
      </w:r>
    </w:p>
    <w:p>
      <w:pPr>
        <w:pStyle w:val="Normal"/>
        <w:spacing w:lineRule="auto" w:line="240"/>
        <w:ind w:start="5760" w:end="0"/>
        <w:jc w:val="both"/>
        <w:rPr/>
      </w:pPr>
      <w:r>
        <w:rPr/>
        <w:t>Washington, D. C.  20002</w:t>
      </w:r>
    </w:p>
    <w:p>
      <w:pPr>
        <w:pStyle w:val="Normal"/>
        <w:tabs>
          <w:tab w:val="clear" w:pos="720"/>
          <w:tab w:val="left" w:pos="5760" w:leader="none"/>
        </w:tabs>
        <w:spacing w:lineRule="auto" w:line="240"/>
        <w:ind w:start="5760" w:end="0"/>
        <w:jc w:val="both"/>
        <w:rPr/>
      </w:pPr>
      <w:r>
        <w:rPr/>
        <w:t>(202) 216-5900</w:t>
      </w:r>
    </w:p>
    <w:sectPr>
      <w:footerReference w:type="default" r:id="rId2"/>
      <w:footerReference w:type="first" r:id="rId3"/>
      <w:footnotePr>
        <w:numFmt w:val="decimal"/>
      </w:footnotePr>
      <w:type w:val="nextPage"/>
      <w:pgSz w:w="12240" w:h="15840"/>
      <w:pgMar w:left="1440" w:right="135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Book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r>
      <w:rPr>
        <w:rStyle w:val="PageNumber"/>
      </w:rPr>
      <w:t xml:space="preserve"> -</w:t>
    </w:r>
  </w:p>
  <w:p>
    <w:pPr>
      <w:pStyle w:val="Normal"/>
      <w:rPr>
        <w:rStyle w:val="PageNumber"/>
      </w:rPr>
    </w:pPr>
    <w:r>
      <w:rPr/>
    </w:r>
  </w:p>
  <w:p>
    <w:pPr>
      <w:pStyle w:val="Normal"/>
      <w:rPr>
        <w:rStyle w:val="PageNumber"/>
      </w:rPr>
    </w:pPr>
    <w:r>
      <w:rPr/>
    </w:r>
    <w:r>
      <mc:AlternateContent>
        <mc:Choice Requires="wps">
          <w:drawing>
            <wp:anchor behindDoc="0" distT="0" distB="0" distL="118745" distR="118745" simplePos="0" locked="0" layoutInCell="0" allowOverlap="1" relativeHeight="19">
              <wp:simplePos x="0" y="0"/>
              <wp:positionH relativeFrom="rightMargin">
                <wp:posOffset>-2743200</wp:posOffset>
              </wp:positionH>
              <wp:positionV relativeFrom="page">
                <wp:align>bottom</wp:align>
              </wp:positionV>
              <wp:extent cx="2743200" cy="640080"/>
              <wp:effectExtent l="0" t="0" r="0" b="0"/>
              <wp:wrapSquare wrapText="bothSides"/>
              <wp:docPr id="1" name="Frame1"/>
              <a:graphic xmlns:a="http://schemas.openxmlformats.org/drawingml/2006/main">
                <a:graphicData uri="http://schemas.microsoft.com/office/word/2010/wordprocessingShape">
                  <wps:wsp>
                    <wps:cNvSpPr txBox="1"/>
                    <wps:spPr>
                      <a:xfrm>
                        <a:off x="0" y="0"/>
                        <a:ext cx="2743200" cy="640080"/>
                      </a:xfrm>
                      <a:prstGeom prst="rect"/>
                      <a:solidFill>
                        <a:srgbClr val="FFFFFF">
                          <a:alpha val="0"/>
                        </a:srgbClr>
                      </a:solidFill>
                    </wps:spPr>
                    <wps:txbx>
                      <w:txbxContent>
                        <w:p>
                          <w:pPr>
                            <w:pStyle w:val="Normal"/>
                            <w:jc w:val="end"/>
                            <w:rPr/>
                          </w:pPr>
                          <w:r>
                            <w:rPr/>
                            <w:t xml:space="preserve"> </w:t>
                          </w:r>
                        </w:p>
                      </w:txbxContent>
                    </wps:txbx>
                    <wps:bodyPr anchor="t" lIns="0" tIns="0" rIns="0" bIns="0">
                      <a:noAutofit/>
                    </wps:bodyPr>
                  </wps:wsp>
                </a:graphicData>
              </a:graphic>
            </wp:anchor>
          </w:drawing>
        </mc:Choice>
        <mc:Fallback>
          <w:pict>
            <v:rect fillcolor="#FFFFFF" style="position:absolute;rotation:-0;width:216pt;height:50.4pt;mso-wrap-distance-left:9.35pt;mso-wrap-distance-right:9.35pt;mso-wrap-distance-top:0pt;mso-wrap-distance-bottom:0pt;margin-top:741.6pt;mso-position-vertical:bottom;mso-position-vertical-relative:page;margin-left:-216pt;mso-position-horizontal-relative:text">
              <v:fill opacity="0f"/>
              <v:textbox inset="0in,0in,0in,0in">
                <w:txbxContent>
                  <w:p>
                    <w:pPr>
                      <w:pStyle w:val="Normal"/>
                      <w:jc w:val="end"/>
                      <w:rPr/>
                    </w:pPr>
                    <w:r>
                      <w:rPr/>
                      <w:t xml:space="preserve"> </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00"/>
        <w:rPr/>
      </w:pPr>
      <w:r>
        <w:rPr>
          <w:rStyle w:val="FootnoteCharacters"/>
        </w:rPr>
        <w:footnoteRef/>
      </w:r>
      <w:r>
        <w:rPr/>
        <w:t xml:space="preserve"> </w:t>
      </w:r>
      <w:r>
        <w:rPr/>
        <w:t>85 FERC at 61,163-64.</w:t>
      </w:r>
    </w:p>
  </w:footnote>
  <w:footnote w:id="3">
    <w:p>
      <w:pPr>
        <w:pStyle w:val="FootnoteText"/>
        <w:spacing w:before="0" w:after="200"/>
        <w:rPr/>
      </w:pPr>
      <w:r>
        <w:rPr>
          <w:rStyle w:val="FootnoteCharacters"/>
        </w:rPr>
        <w:footnoteRef/>
      </w:r>
      <w:r>
        <w:rPr/>
        <w:t xml:space="preserve"> </w:t>
      </w:r>
      <w:r>
        <w:rPr/>
        <w:t>Slip at 133.</w:t>
      </w:r>
    </w:p>
  </w:footnote>
  <w:footnote w:id="4">
    <w:p>
      <w:pPr>
        <w:pStyle w:val="FootnoteText"/>
        <w:spacing w:before="0" w:after="200"/>
        <w:rPr/>
      </w:pPr>
      <w:r>
        <w:rPr>
          <w:rStyle w:val="FootnoteCharacters"/>
        </w:rPr>
        <w:footnoteRef/>
      </w:r>
      <w:r>
        <w:rPr/>
        <w:t xml:space="preserve"> </w:t>
      </w:r>
      <w:r>
        <w:rPr/>
        <w:t>85 FERC at ¶61,163-64.</w:t>
      </w:r>
    </w:p>
  </w:footnote>
  <w:footnote w:id="5">
    <w:p>
      <w:pPr>
        <w:pStyle w:val="FootnoteText"/>
        <w:spacing w:before="0" w:after="200"/>
        <w:rPr/>
      </w:pPr>
      <w:r>
        <w:rPr>
          <w:rStyle w:val="FootnoteCharacters"/>
        </w:rPr>
        <w:footnoteRef/>
      </w:r>
      <w:r>
        <w:rPr/>
        <w:t xml:space="preserve"> </w:t>
      </w:r>
      <w:r>
        <w:rPr/>
        <w:t>Secondary Market Transactions on Interstate Natural Gas Pipelines, RM96-14-000 and RM96-14-001.  INGAA Supplemental Comments, filed April 23, 1997.  Issue Analysis 97-1, “Comparability of Short-term Transportation Service”.</w:t>
      </w:r>
    </w:p>
  </w:footnote>
  <w:footnote w:id="6">
    <w:p>
      <w:pPr>
        <w:pStyle w:val="FootnoteText"/>
        <w:spacing w:before="0" w:after="200"/>
        <w:rPr/>
      </w:pPr>
      <w:r>
        <w:rPr>
          <w:rStyle w:val="FootnoteCharacters"/>
        </w:rPr>
        <w:footnoteRef/>
      </w:r>
      <w:r>
        <w:rPr/>
        <w:t xml:space="preserve"> </w:t>
      </w:r>
      <w:r>
        <w:rPr/>
        <w:t>Atlanta Gas Light and Chattanooga Gas Company and the East Tennessee Group filed in support of Tennessee’s proposal.  Atlanta argued that the creation of “virtual capacity” on the pipeline stands in the way of firm shippers releasing unneeded capacity and thus recouping some demand charges.</w:t>
      </w:r>
    </w:p>
  </w:footnote>
  <w:footnote w:id="7">
    <w:p>
      <w:pPr>
        <w:pStyle w:val="FootnoteText"/>
        <w:spacing w:before="0" w:after="200"/>
        <w:rPr/>
      </w:pPr>
      <w:r>
        <w:rPr>
          <w:rStyle w:val="FootnoteCharacters"/>
        </w:rPr>
        <w:footnoteRef/>
      </w:r>
      <w:r>
        <w:rPr/>
        <w:t xml:space="preserve"> </w:t>
      </w:r>
      <w:r>
        <w:rPr/>
        <w:t>Louisville Gas &amp; Electric and Cinergy described the problems they as shippers on the Texas Gas system were having due to the multiplication of capacity under the capacity release program.</w:t>
      </w:r>
    </w:p>
  </w:footnote>
  <w:footnote w:id="8">
    <w:p>
      <w:pPr>
        <w:pStyle w:val="FootnoteText"/>
        <w:spacing w:before="0" w:after="200"/>
        <w:rPr/>
      </w:pPr>
      <w:r>
        <w:rPr>
          <w:rStyle w:val="FootnoteCharacters"/>
        </w:rPr>
        <w:footnoteRef/>
      </w:r>
      <w:r>
        <w:rPr/>
        <w:t xml:space="preserve"> </w:t>
      </w:r>
      <w:r>
        <w:rPr/>
        <w:t>Tennessee, 85 FERC at 61,163-64.</w:t>
      </w:r>
    </w:p>
  </w:footnote>
  <w:footnote w:id="9">
    <w:p>
      <w:pPr>
        <w:pStyle w:val="indent"/>
        <w:spacing w:before="0" w:after="0"/>
        <w:ind w:start="0" w:end="720"/>
        <w:jc w:val="both"/>
        <w:rPr/>
      </w:pPr>
      <w:r>
        <w:rPr>
          <w:rStyle w:val="FootnoteCharacters"/>
        </w:rPr>
        <w:footnoteRef/>
      </w:r>
      <w:r>
        <w:rPr/>
        <w:t xml:space="preserve"> </w:t>
      </w:r>
      <w:r>
        <w:rPr>
          <w:i/>
        </w:rPr>
        <w:t xml:space="preserve">Northwest Pipeline </w:t>
      </w:r>
      <w:r>
        <w:rPr/>
        <w:t>63 FERC ¶ 61,124 (1993).“Northwest’s restriction on replacement shippers’ ability to designate primary or receipt different than those of the releasing shipper unless the releasing shipper agrees to relinquish the original primary point could operate to limit or impair capacity release transactions.  A releasing shipper may be unwilling to enter into a short term release if, in doing so, it loses priority to its primary receipt and delivery points to its primary receipt and delivery points for the remainder of a 20 year contract.  Replacement shippers may be reluctant to bid on mainline capacity if they cannot be assured of receipt and delivery point at available point (not subject to bumping by shippers coming later in time).” 63 FERC at 61,807</w:t>
      </w:r>
    </w:p>
    <w:p>
      <w:pPr>
        <w:pStyle w:val="FootnoteText"/>
        <w:spacing w:before="0" w:after="200"/>
        <w:rPr/>
      </w:pPr>
      <w:r>
        <w:rPr/>
      </w:r>
    </w:p>
  </w:footnote>
  <w:footnote w:id="10">
    <w:p>
      <w:pPr>
        <w:pStyle w:val="FootnoteText"/>
        <w:spacing w:before="0" w:after="200"/>
        <w:rPr/>
      </w:pPr>
      <w:r>
        <w:rPr>
          <w:rStyle w:val="FootnoteCharacters"/>
        </w:rPr>
        <w:footnoteRef/>
      </w:r>
      <w:r>
        <w:rPr/>
        <w:t xml:space="preserve"> </w:t>
      </w:r>
      <w:r>
        <w:rPr/>
        <w:t>Tennessee Gas Pipeline, 86 FERC ¶ 61,290 at 62,033.</w:t>
      </w:r>
    </w:p>
  </w:footnote>
  <w:footnote w:id="11">
    <w:p>
      <w:pPr>
        <w:pStyle w:val="FootnoteText"/>
        <w:spacing w:before="0" w:after="200"/>
        <w:rPr/>
      </w:pPr>
      <w:r>
        <w:rPr>
          <w:rStyle w:val="FootnoteCharacters"/>
        </w:rPr>
        <w:footnoteRef/>
      </w:r>
      <w:r>
        <w:rPr/>
        <w:t xml:space="preserve"> </w:t>
      </w:r>
      <w:r>
        <w:rPr/>
        <w:t>Panhandle Eastern Pipe Line Company, 75 FERC ¶ 61,084 at 61,257 (1996).</w:t>
      </w:r>
    </w:p>
  </w:footnote>
  <w:footnote w:id="12">
    <w:p>
      <w:pPr>
        <w:pStyle w:val="FootnoteText"/>
        <w:spacing w:before="0" w:after="200"/>
        <w:rPr/>
      </w:pPr>
      <w:r>
        <w:rPr>
          <w:rStyle w:val="FootnoteCharacters"/>
        </w:rPr>
        <w:footnoteRef/>
      </w:r>
      <w:r>
        <w:rPr/>
        <w:t xml:space="preserve"> </w:t>
      </w:r>
      <w:r>
        <w:rPr/>
        <w:t>Citing Order No. 636-A, FERC Statutes and Regulations ¶ 30,950 at 30,582 (1993).</w:t>
      </w:r>
    </w:p>
  </w:footnote>
  <w:footnote w:id="13">
    <w:p>
      <w:pPr>
        <w:pStyle w:val="FootnoteText"/>
        <w:spacing w:before="0" w:after="200"/>
        <w:jc w:val="both"/>
        <w:rPr/>
      </w:pPr>
      <w:r>
        <w:rPr>
          <w:rStyle w:val="FootnoteCharacters"/>
        </w:rPr>
        <w:footnoteRef/>
      </w:r>
      <w:r>
        <w:rPr/>
        <w:t xml:space="preserve"> </w:t>
      </w:r>
      <w:r>
        <w:rPr/>
        <w:t>Policy Statement Providing Guidance with Respect to the Designing of  Rates, 47 FERC 61,295 at 61,054 (1989).</w:t>
      </w:r>
    </w:p>
  </w:footnote>
  <w:footnote w:id="14">
    <w:p>
      <w:pPr>
        <w:pStyle w:val="FootnoteText"/>
        <w:spacing w:before="0" w:after="200"/>
        <w:jc w:val="both"/>
        <w:rPr/>
      </w:pPr>
      <w:r>
        <w:rPr>
          <w:rStyle w:val="FootnoteCharacters"/>
        </w:rPr>
        <w:footnoteRef/>
      </w:r>
      <w:r>
        <w:rPr/>
        <w:t xml:space="preserve"> </w:t>
      </w:r>
      <w:r>
        <w:rPr/>
        <w:t>Slip at 99.</w:t>
      </w:r>
    </w:p>
  </w:footnote>
  <w:footnote w:id="15">
    <w:p>
      <w:pPr>
        <w:pStyle w:val="Normal"/>
        <w:jc w:val="both"/>
        <w:rPr/>
      </w:pPr>
      <w:r>
        <w:rPr>
          <w:rStyle w:val="FootnoteCharacters"/>
        </w:rPr>
        <w:footnoteRef/>
      </w:r>
      <w:r>
        <w:rPr/>
        <w:t xml:space="preserve"> </w:t>
      </w:r>
      <w:r>
        <w:rPr>
          <w:i/>
        </w:rPr>
        <w:t>Texas Eastern Transmission Corporation</w:t>
      </w:r>
      <w:r>
        <w:rPr/>
        <w:t xml:space="preserve">; 20 FERC ¶ 61,096, 61,207 (1982)(a settlement approach has important advantages.  It can significantly improve administrative efficiency and reduce the delay that is a basic source of dissatisfaction with government regulation.  Also, by giving the various affected interests a greater opportunity to participate in the decision-making process of the Commission, it can improve the quality of administrative decisions and enhance their acceptability.); </w:t>
      </w:r>
      <w:r>
        <w:rPr>
          <w:i/>
        </w:rPr>
        <w:t>Trailblazer Pipeline Company</w:t>
      </w:r>
      <w:r>
        <w:rPr/>
        <w:t xml:space="preserve">, 88 FERC ¶ 61,168, 61,567 (1999)(prohibiting parties from arguing litigation position at hearing if settlement not approved would penalize parties from trying to resolve issues and thus is incompatible with the Commission's policy favoring settlements); </w:t>
      </w:r>
      <w:r>
        <w:rPr>
          <w:i/>
        </w:rPr>
        <w:t>Lakehead Pipe Line Company</w:t>
      </w:r>
      <w:r>
        <w:rPr/>
        <w:t xml:space="preserve">, 85 FERC ¶ 61,397, 62,531 </w:t>
      </w:r>
      <w:r>
        <w:rPr>
          <w:highlight w:val="yellow"/>
        </w:rPr>
        <w:t>(199-)(</w:t>
      </w:r>
      <w:r>
        <w:rPr/>
        <w:t xml:space="preserve">approval of settlement furthers Commission policy of favoring settlements as a means for parties to avoid litigation and thereby lessen the regulatory burden of all concerned.); </w:t>
      </w:r>
      <w:r>
        <w:rPr>
          <w:i/>
        </w:rPr>
        <w:t>New England Power Company</w:t>
      </w:r>
      <w:r>
        <w:rPr/>
        <w:t xml:space="preserve">, 79 FERC ¶ 61,006, 61,025 (1997)(an agency's authority to approve settlements is an essential regulatory tool, and that the wide discretion afforded in this area is supported by the broad public interest favoring the settlement of complex matters). </w:t>
      </w:r>
    </w:p>
    <w:p>
      <w:pPr>
        <w:pStyle w:val="FootnoteText"/>
        <w:spacing w:before="0" w:after="200"/>
        <w:jc w:val="both"/>
        <w:rPr/>
      </w:pPr>
      <w:r>
        <w:rPr/>
      </w:r>
    </w:p>
  </w:footnote>
  <w:footnote w:id="16">
    <w:p>
      <w:pPr>
        <w:pStyle w:val="bodytext1"/>
        <w:spacing w:lineRule="auto" w:line="240"/>
        <w:ind w:hanging="0" w:end="0"/>
        <w:jc w:val="both"/>
        <w:rPr>
          <w:rStyle w:val="FootnoteCharacters"/>
          <w:position w:val="0"/>
          <w:sz w:val="20"/>
          <w:sz w:val="20"/>
          <w:vertAlign w:val="baseline"/>
        </w:rPr>
      </w:pPr>
      <w:r>
        <w:rPr>
          <w:rStyle w:val="FootnoteCharacters"/>
        </w:rPr>
        <w:footnoteRef/>
      </w:r>
      <w:r>
        <w:rPr/>
        <w:t xml:space="preserve"> </w:t>
      </w:r>
      <w:r>
        <w:rPr>
          <w:rStyle w:val="FootnoteCharacters"/>
          <w:position w:val="0"/>
          <w:sz w:val="18"/>
          <w:sz w:val="20"/>
          <w:vertAlign w:val="baseline"/>
        </w:rPr>
        <w:t>Fifteen months after implementing peak/off-peak rates, pipelines must prepare, and file, a cost and revenue study.  Based on that study, the Commission will determine whether any adjustments are necessary to the peak/off-peak rates and may order prospective adjustments.</w:t>
      </w:r>
      <w:r>
        <w:rPr>
          <w:sz w:val="20"/>
        </w:rPr>
        <w:t xml:space="preserve">  Slip op at 105</w:t>
      </w:r>
    </w:p>
    <w:p>
      <w:pPr>
        <w:pStyle w:val="FootnoteText"/>
        <w:spacing w:before="0" w:after="200"/>
        <w:rPr>
          <w:rStyle w:val="FootnoteCharacters"/>
          <w:position w:val="0"/>
          <w:sz w:val="20"/>
          <w:sz w:val="20"/>
          <w:vertAlign w:val="baseline"/>
        </w:rPr>
      </w:pPr>
      <w:r>
        <w:rPr/>
      </w:r>
    </w:p>
  </w:footnote>
  <w:footnote w:id="17">
    <w:p>
      <w:pPr>
        <w:pStyle w:val="FootnoteText"/>
        <w:spacing w:before="0" w:after="200"/>
        <w:rPr/>
      </w:pPr>
      <w:r>
        <w:rPr>
          <w:rStyle w:val="FootnoteCharacters"/>
        </w:rPr>
        <w:footnoteRef/>
      </w:r>
      <w:r>
        <w:rPr/>
        <w:t xml:space="preserve"> </w:t>
      </w:r>
      <w:r>
        <w:rPr/>
        <w:t>Slip op at 101.</w:t>
      </w:r>
    </w:p>
  </w:footnote>
  <w:footnote w:id="18">
    <w:p>
      <w:pPr>
        <w:pStyle w:val="FootnoteText"/>
        <w:spacing w:before="0" w:after="200"/>
        <w:rPr/>
      </w:pPr>
      <w:r>
        <w:rPr>
          <w:rStyle w:val="FootnoteCharacters"/>
        </w:rPr>
        <w:footnoteRef/>
      </w:r>
      <w:r>
        <w:rPr/>
        <w:t xml:space="preserve"> </w:t>
      </w:r>
      <w:r>
        <w:rPr/>
        <w:t>Slip at 93.</w:t>
      </w:r>
    </w:p>
  </w:footnote>
  <w:footnote w:id="19">
    <w:p>
      <w:pPr>
        <w:pStyle w:val="FootnoteText"/>
        <w:spacing w:before="0" w:after="200"/>
        <w:jc w:val="both"/>
        <w:rPr/>
      </w:pPr>
      <w:r>
        <w:rPr>
          <w:rStyle w:val="FootnoteCharacters"/>
        </w:rPr>
        <w:footnoteRef/>
      </w:r>
      <w:r>
        <w:rPr/>
        <w:t xml:space="preserve"> </w:t>
      </w:r>
      <w:r>
        <w:rPr>
          <w:i/>
        </w:rPr>
        <w:t>See</w:t>
      </w:r>
      <w:r>
        <w:rPr/>
        <w:t xml:space="preserve"> Section III. A. </w:t>
      </w:r>
      <w:r>
        <w:rPr>
          <w:i/>
        </w:rPr>
        <w:t>supra</w:t>
      </w:r>
      <w:r>
        <w:rPr/>
        <w:t xml:space="preserve">. </w:t>
      </w:r>
      <w:r>
        <w:rPr>
          <w:i/>
        </w:rPr>
        <w:t>Texas Eastern Transmission Corporation</w:t>
      </w:r>
      <w:r>
        <w:rPr/>
        <w:t>, 20 FERC ¶ 61,096, 61,207 (1982);</w:t>
      </w:r>
      <w:r>
        <w:rPr>
          <w:i/>
        </w:rPr>
        <w:t xml:space="preserve"> Trailblazer Pipeline Company</w:t>
      </w:r>
      <w:r>
        <w:rPr/>
        <w:t xml:space="preserve">, 88 FERC ¶ 61,168, 61,567 (1999); </w:t>
      </w:r>
      <w:r>
        <w:rPr>
          <w:i/>
        </w:rPr>
        <w:t>Lakehead Pipe Line Company</w:t>
      </w:r>
      <w:r>
        <w:rPr/>
        <w:t xml:space="preserve">, 85 FERC ¶ 61,397, 62,531 </w:t>
      </w:r>
      <w:r>
        <w:rPr>
          <w:highlight w:val="yellow"/>
        </w:rPr>
        <w:t>(19  );</w:t>
      </w:r>
      <w:r>
        <w:rPr/>
        <w:t xml:space="preserve"> </w:t>
      </w:r>
      <w:r>
        <w:rPr>
          <w:i/>
        </w:rPr>
        <w:t>New England Power Company</w:t>
      </w:r>
      <w:r>
        <w:rPr/>
        <w:t>, 79 FERC ¶ 61,006, 61,025 (1997).</w:t>
      </w:r>
    </w:p>
  </w:footnote>
  <w:footnote w:id="20">
    <w:p>
      <w:pPr>
        <w:pStyle w:val="FootnoteText"/>
        <w:spacing w:before="0" w:after="200"/>
        <w:rPr/>
      </w:pPr>
      <w:r>
        <w:rPr>
          <w:rStyle w:val="FootnoteCharacters"/>
        </w:rPr>
        <w:footnoteRef/>
      </w:r>
      <w:r>
        <w:rPr/>
        <w:t xml:space="preserve"> </w:t>
      </w:r>
      <w:r>
        <w:rPr/>
        <w:t>Comments of the American Gas Association, RM96-7-999 and PL97-1-000, Regulation of Negotiated Transportation Services of Natural Gas Pipelines (May 7, 1998)</w:t>
      </w:r>
    </w:p>
  </w:footnote>
  <w:footnote w:id="21">
    <w:p>
      <w:pPr>
        <w:pStyle w:val="FootnoteText"/>
        <w:spacing w:before="0" w:after="200"/>
        <w:rPr/>
      </w:pPr>
      <w:r>
        <w:rPr>
          <w:rStyle w:val="FootnoteCharacters"/>
        </w:rPr>
        <w:footnoteRef/>
      </w:r>
      <w:r>
        <w:rPr/>
        <w:t xml:space="preserve"> </w:t>
      </w:r>
      <w:r>
        <w:rPr/>
        <w:t>Slip at 233.</w:t>
      </w:r>
    </w:p>
  </w:footnote>
  <w:footnote w:id="22">
    <w:p>
      <w:pPr>
        <w:pStyle w:val="FootnoteText"/>
        <w:spacing w:before="0" w:after="200"/>
        <w:jc w:val="both"/>
        <w:rPr/>
      </w:pPr>
      <w:r>
        <w:rPr>
          <w:rStyle w:val="FootnoteCharacters"/>
        </w:rPr>
        <w:footnoteRef/>
      </w:r>
      <w:r>
        <w:rPr/>
        <w:t xml:space="preserve"> </w:t>
      </w:r>
      <w:r>
        <w:rPr/>
        <w:t xml:space="preserve">The job titles and descriptions must include the employee’s title, the employee’s duties, whether the employee is involved in transportation or gas sales, and the name of the supervisory employees who manage non-clerical employees involved in transportation or gas sales.         </w:t>
      </w:r>
    </w:p>
  </w:footnote>
  <w:footnote w:id="23">
    <w:p>
      <w:pPr>
        <w:pStyle w:val="FootnoteText"/>
        <w:spacing w:before="0" w:after="200"/>
        <w:rPr/>
      </w:pPr>
      <w:r>
        <w:rPr>
          <w:rStyle w:val="FootnoteCharacters"/>
        </w:rPr>
        <w:footnoteRef/>
      </w:r>
      <w:r>
        <w:rPr/>
        <w:t xml:space="preserve"> </w:t>
      </w:r>
      <w:r>
        <w:rPr/>
        <w:t>American Electric Power Service Corporation, 81 FERC ¶ 61,332 at 62,512 (1997).</w:t>
      </w:r>
    </w:p>
  </w:footnote>
  <w:footnote w:id="24">
    <w:p>
      <w:pPr>
        <w:pStyle w:val="FootnoteText"/>
        <w:spacing w:before="0" w:after="200"/>
        <w:rPr/>
      </w:pPr>
      <w:r>
        <w:rPr>
          <w:rStyle w:val="FootnoteCharacters"/>
        </w:rPr>
        <w:footnoteRef/>
      </w:r>
      <w:r>
        <w:rPr/>
        <w:t xml:space="preserve"> </w:t>
      </w:r>
      <w:r>
        <w:rPr/>
        <w:t>Although the Commission selected three days in Order No. ____ to post changes in the names and addresses of a pipeline marketing affiliate, that is a limited set of data.</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lvl>
    <w:lvl w:ilvl="1">
      <w:start w:val="1"/>
      <w:pStyle w:val="Heading2"/>
      <w:numFmt w:val="upperLetter"/>
      <w:lvlText w:val="%2."/>
      <w:lvlJc w:val="start"/>
      <w:pPr>
        <w:tabs>
          <w:tab w:val="num" w:pos="1080"/>
        </w:tabs>
        <w:ind w:start="720" w:hanging="0"/>
      </w:pPr>
      <w:rPr/>
    </w:lvl>
    <w:lvl w:ilvl="2">
      <w:start w:val="1"/>
      <w:pStyle w:val="Heading3"/>
      <w:numFmt w:val="decimal"/>
      <w:lvlText w:val="%3."/>
      <w:lvlJc w:val="start"/>
      <w:pPr>
        <w:tabs>
          <w:tab w:val="num" w:pos="1800"/>
        </w:tabs>
        <w:ind w:start="1440" w:hanging="0"/>
      </w:pPr>
      <w:rPr/>
    </w:lvl>
    <w:lvl w:ilvl="3">
      <w:start w:val="1"/>
      <w:pStyle w:val="Heading4"/>
      <w:numFmt w:val="lowerLetter"/>
      <w:lvlText w:val="%4)"/>
      <w:lvlJc w:val="start"/>
      <w:pPr>
        <w:tabs>
          <w:tab w:val="num" w:pos="2520"/>
        </w:tabs>
        <w:ind w:start="2160" w:hanging="0"/>
      </w:pPr>
      <w:rPr/>
    </w:lvl>
    <w:lvl w:ilvl="4">
      <w:start w:val="1"/>
      <w:pStyle w:val="Heading5"/>
      <w:numFmt w:val="decimal"/>
      <w:lvlText w:val="(%5)"/>
      <w:lvlJc w:val="start"/>
      <w:pPr>
        <w:tabs>
          <w:tab w:val="num" w:pos="3240"/>
        </w:tabs>
        <w:ind w:start="2880" w:hanging="0"/>
      </w:pPr>
      <w:rPr/>
    </w:lvl>
    <w:lvl w:ilvl="5">
      <w:start w:val="1"/>
      <w:pStyle w:val="Heading6"/>
      <w:numFmt w:val="lowerLetter"/>
      <w:lvlText w:val="(%6)"/>
      <w:lvlJc w:val="start"/>
      <w:pPr>
        <w:tabs>
          <w:tab w:val="num" w:pos="3960"/>
        </w:tabs>
        <w:ind w:start="3600" w:hanging="0"/>
      </w:pPr>
      <w:rPr/>
    </w:lvl>
    <w:lvl w:ilvl="6">
      <w:start w:val="1"/>
      <w:pStyle w:val="Heading7"/>
      <w:numFmt w:val="lowerRoman"/>
      <w:lvlText w:val="(%7)"/>
      <w:lvlJc w:val="start"/>
      <w:pPr>
        <w:tabs>
          <w:tab w:val="num" w:pos="4680"/>
        </w:tabs>
        <w:ind w:start="4320" w:hanging="0"/>
      </w:pPr>
      <w:rPr/>
    </w:lvl>
    <w:lvl w:ilvl="7">
      <w:start w:val="1"/>
      <w:pStyle w:val="Heading8"/>
      <w:numFmt w:val="lowerLetter"/>
      <w:lvlText w:val="(%8)"/>
      <w:lvlJc w:val="start"/>
      <w:pPr>
        <w:tabs>
          <w:tab w:val="num" w:pos="5400"/>
        </w:tabs>
        <w:ind w:start="5040" w:hanging="0"/>
      </w:pPr>
      <w:rPr/>
    </w:lvl>
    <w:lvl w:ilvl="8">
      <w:start w:val="1"/>
      <w:pStyle w:val="Heading9"/>
      <w:numFmt w:val="lowerRoman"/>
      <w:lvlText w:val="(%9)"/>
      <w:lvlJc w:val="start"/>
      <w:pPr>
        <w:tabs>
          <w:tab w:val="num" w:pos="6120"/>
        </w:tabs>
        <w:ind w:start="5760" w:hanging="0"/>
      </w:pPr>
      <w:rPr/>
    </w:lvl>
  </w:abstractNum>
  <w:abstractNum w:abstractNumId="2">
    <w:lvl w:ilvl="0">
      <w:start w:val="1"/>
      <w:numFmt w:val="bullet"/>
      <w:lvlText w:val=""/>
      <w:lvlJc w:val="start"/>
      <w:pPr>
        <w:tabs>
          <w:tab w:val="num" w:pos="1504"/>
        </w:tabs>
        <w:ind w:start="1504" w:hanging="360"/>
      </w:pPr>
      <w:rPr>
        <w:rFonts w:ascii="Symbol" w:hAnsi="Symbol" w:cs="Symbol" w:hint="default"/>
      </w:rPr>
    </w:lvl>
  </w:abstractNum>
  <w:abstractNum w:abstractNumId="3">
    <w:lvl w:ilvl="0">
      <w:start w:val="3"/>
      <w:numFmt w:val="upperLetter"/>
      <w:lvlText w:val="%1."/>
      <w:lvlJc w:val="start"/>
      <w:pPr>
        <w:tabs>
          <w:tab w:val="num" w:pos="1080"/>
        </w:tabs>
        <w:ind w:start="1080" w:hanging="720"/>
      </w:pPr>
      <w:rPr>
        <w:b/>
      </w:rPr>
    </w:lvl>
  </w:abstractNum>
  <w:abstractNum w:abstractNumId="4">
    <w:lvl w:ilvl="0">
      <w:start w:val="1"/>
      <w:numFmt w:val="bullet"/>
      <w:lvlText w:val=""/>
      <w:lvlJc w:val="start"/>
      <w:pPr>
        <w:tabs>
          <w:tab w:val="num" w:pos="0"/>
        </w:tabs>
        <w:ind w:start="0" w:hanging="0"/>
      </w:pPr>
      <w:rPr>
        <w:rFonts w:ascii="Symbol" w:hAnsi="Symbol" w:cs="Symbol" w:hint="default"/>
        <w:color w:val="auto"/>
      </w:rPr>
    </w:lvl>
  </w:abstractNum>
  <w:abstractNum w:abstractNumId="5">
    <w:lvl w:ilvl="0">
      <w:start w:val="1"/>
      <w:numFmt w:val="bullet"/>
      <w:lvlText w:val=""/>
      <w:lvlJc w:val="start"/>
      <w:pPr>
        <w:tabs>
          <w:tab w:val="num" w:pos="0"/>
        </w:tabs>
        <w:ind w:start="0" w:hanging="0"/>
      </w:pPr>
      <w:rPr>
        <w:rFonts w:ascii="Symbol" w:hAnsi="Symbol" w:cs="Symbol" w:hint="default"/>
        <w:color w:val="auto"/>
      </w:rPr>
    </w:lvl>
  </w:abstractNum>
  <w:abstractNum w:abstractNumId="6">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usePrinterMetrics/>
    <w:compatSetting w:name="compatibilityMode" w:uri="http://schemas.microsoft.com/office/word" w:val="11"/>
  </w:compat>
  <w:docVars>
    <w:docVar w:name="doctag$" w:val="no"/>
    <w:docVar w:name="tag" w:val="no"/>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tLeast" w:line="240"/>
    </w:pPr>
    <w:rPr>
      <w:rFonts w:ascii="Times New Roman" w:hAnsi="Times New Roman" w:eastAsia="Times New Roman" w:cs="Times New Roman"/>
      <w:color w:val="auto"/>
      <w:sz w:val="24"/>
      <w:szCs w:val="20"/>
      <w:lang w:val="en-US" w:bidi="ar-SA" w:eastAsia="zh-CN"/>
    </w:rPr>
  </w:style>
  <w:style w:type="paragraph" w:styleId="Heading1">
    <w:name w:val="heading 1"/>
    <w:basedOn w:val="baseheading"/>
    <w:next w:val="bodytext1"/>
    <w:qFormat/>
    <w:pPr>
      <w:numPr>
        <w:ilvl w:val="0"/>
        <w:numId w:val="1"/>
      </w:numPr>
      <w:outlineLvl w:val="0"/>
    </w:pPr>
    <w:rPr>
      <w:caps/>
    </w:rPr>
  </w:style>
  <w:style w:type="paragraph" w:styleId="Heading2">
    <w:name w:val="heading 2"/>
    <w:basedOn w:val="baseheading"/>
    <w:next w:val="bodytext1"/>
    <w:qFormat/>
    <w:pPr>
      <w:numPr>
        <w:ilvl w:val="1"/>
        <w:numId w:val="1"/>
      </w:numPr>
      <w:outlineLvl w:val="1"/>
    </w:pPr>
    <w:rPr/>
  </w:style>
  <w:style w:type="paragraph" w:styleId="Heading3">
    <w:name w:val="heading 3"/>
    <w:basedOn w:val="baseheading"/>
    <w:next w:val="bodytext1"/>
    <w:qFormat/>
    <w:pPr>
      <w:numPr>
        <w:ilvl w:val="2"/>
        <w:numId w:val="1"/>
      </w:numPr>
      <w:outlineLvl w:val="2"/>
    </w:pPr>
    <w:rPr/>
  </w:style>
  <w:style w:type="paragraph" w:styleId="Heading4">
    <w:name w:val="heading 4"/>
    <w:basedOn w:val="baseheading"/>
    <w:next w:val="bodytext1"/>
    <w:qFormat/>
    <w:pPr>
      <w:numPr>
        <w:ilvl w:val="3"/>
        <w:numId w:val="1"/>
      </w:numPr>
      <w:outlineLvl w:val="3"/>
    </w:pPr>
    <w:rPr/>
  </w:style>
  <w:style w:type="paragraph" w:styleId="Heading5">
    <w:name w:val="heading 5"/>
    <w:basedOn w:val="baseheading"/>
    <w:next w:val="bodytext1"/>
    <w:qFormat/>
    <w:pPr>
      <w:numPr>
        <w:ilvl w:val="4"/>
        <w:numId w:val="1"/>
      </w:numPr>
      <w:outlineLvl w:val="4"/>
    </w:pPr>
    <w:rPr/>
  </w:style>
  <w:style w:type="paragraph" w:styleId="Heading6">
    <w:name w:val="heading 6"/>
    <w:basedOn w:val="baseheading"/>
    <w:next w:val="bodytext1"/>
    <w:qFormat/>
    <w:pPr>
      <w:numPr>
        <w:ilvl w:val="5"/>
        <w:numId w:val="1"/>
      </w:numPr>
      <w:outlineLvl w:val="5"/>
    </w:pPr>
    <w:rPr/>
  </w:style>
  <w:style w:type="paragraph" w:styleId="Heading7">
    <w:name w:val="heading 7"/>
    <w:basedOn w:val="baseheading"/>
    <w:next w:val="bodytext1"/>
    <w:qFormat/>
    <w:pPr>
      <w:numPr>
        <w:ilvl w:val="6"/>
        <w:numId w:val="1"/>
      </w:numPr>
      <w:outlineLvl w:val="6"/>
    </w:pPr>
    <w:rPr/>
  </w:style>
  <w:style w:type="paragraph" w:styleId="Heading8">
    <w:name w:val="heading 8"/>
    <w:basedOn w:val="baseheading"/>
    <w:next w:val="bodytext1"/>
    <w:qFormat/>
    <w:pPr>
      <w:numPr>
        <w:ilvl w:val="7"/>
        <w:numId w:val="1"/>
      </w:numPr>
      <w:outlineLvl w:val="7"/>
    </w:pPr>
    <w:rPr/>
  </w:style>
  <w:style w:type="paragraph" w:styleId="Heading9">
    <w:name w:val="heading 9"/>
    <w:basedOn w:val="baseheading"/>
    <w:next w:val="bodytext1"/>
    <w:qFormat/>
    <w:pPr>
      <w:numPr>
        <w:ilvl w:val="8"/>
        <w:numId w:val="1"/>
      </w:numPr>
      <w:ind w:hanging="0" w:start="0" w:end="0"/>
      <w:jc w:val="center"/>
      <w:outlineLvl w:val="8"/>
    </w:pPr>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5z0">
    <w:name w:val="WW8Num5z0"/>
    <w:qFormat/>
    <w:rPr>
      <w:b/>
    </w:rPr>
  </w:style>
  <w:style w:type="character" w:styleId="WW8Num6z0">
    <w:name w:val="WW8Num6z0"/>
    <w:qFormat/>
    <w:rPr>
      <w:rFonts w:ascii="Symbol" w:hAnsi="Symbol" w:cs="Symbol"/>
      <w:color w:val="auto"/>
    </w:rPr>
  </w:style>
  <w:style w:type="character" w:styleId="WW8Num7z0">
    <w:name w:val="WW8Num7z0"/>
    <w:qFormat/>
    <w:rPr>
      <w:rFonts w:ascii="Symbol" w:hAnsi="Symbol" w:cs="Symbol"/>
      <w:color w:val="auto"/>
    </w:rPr>
  </w:style>
  <w:style w:type="character" w:styleId="WW8Num8z0">
    <w:name w:val="WW8Num8z0"/>
    <w:qFormat/>
    <w:rPr/>
  </w:style>
  <w:style w:type="character" w:styleId="DefaultParagraphFont">
    <w:name w:val="Default Paragraph Font"/>
    <w:qFormat/>
    <w:rPr/>
  </w:style>
  <w:style w:type="character" w:styleId="EndnoteCharacters">
    <w:name w:val="Endnote Characters"/>
    <w:basedOn w:val="DefaultParagraphFont"/>
    <w:qFormat/>
    <w:rPr>
      <w:sz w:val="18"/>
      <w:vertAlign w:val="superscript"/>
    </w:rPr>
  </w:style>
  <w:style w:type="character" w:styleId="FootnoteCharacters">
    <w:name w:val="Footnote Characters"/>
    <w:basedOn w:val="DefaultParagraphFont"/>
    <w:qFormat/>
    <w:rPr>
      <w:sz w:val="18"/>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jc w:val="both"/>
    </w:pPr>
    <w:rPr>
      <w:rFonts w:ascii="Bookman" w:hAnsi="Bookman" w:cs="Bookman"/>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aseheading">
    <w:name w:val="base heading"/>
    <w:basedOn w:val="Normal"/>
    <w:qFormat/>
    <w:pPr>
      <w:keepNext w:val="true"/>
      <w:keepLines/>
      <w:tabs>
        <w:tab w:val="clear" w:pos="720"/>
        <w:tab w:val="left" w:pos="8640" w:leader="none"/>
      </w:tabs>
      <w:spacing w:before="360" w:after="0"/>
      <w:ind w:hanging="0" w:start="0" w:end="720"/>
    </w:pPr>
    <w:rPr>
      <w:b/>
    </w:rPr>
  </w:style>
  <w:style w:type="paragraph" w:styleId="EndnoteText">
    <w:name w:val="endnote text"/>
    <w:basedOn w:val="Normal"/>
    <w:pPr>
      <w:tabs>
        <w:tab w:val="clear" w:pos="720"/>
        <w:tab w:val="left" w:pos="360" w:leader="none"/>
      </w:tabs>
      <w:spacing w:before="0" w:after="200"/>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680" w:leader="none"/>
        <w:tab w:val="right" w:pos="9000" w:leader="none"/>
      </w:tabs>
    </w:pPr>
    <w:rPr/>
  </w:style>
  <w:style w:type="paragraph" w:styleId="bodytext1">
    <w:name w:val="body text1"/>
    <w:basedOn w:val="Normal"/>
    <w:qFormat/>
    <w:pPr>
      <w:spacing w:lineRule="atLeast" w:line="480"/>
      <w:ind w:firstLine="720" w:start="0" w:end="0"/>
    </w:pPr>
    <w:rPr/>
  </w:style>
  <w:style w:type="paragraph" w:styleId="indent">
    <w:name w:val="indent"/>
    <w:basedOn w:val="bodytext1"/>
    <w:next w:val="bodytext-left"/>
    <w:qFormat/>
    <w:pPr>
      <w:spacing w:lineRule="atLeast" w:line="240" w:before="240" w:after="0"/>
      <w:ind w:hanging="0" w:start="720" w:end="720"/>
    </w:pPr>
    <w:rPr/>
  </w:style>
  <w:style w:type="paragraph" w:styleId="TOAHeading">
    <w:name w:val="TOA Heading"/>
    <w:basedOn w:val="baseheading"/>
    <w:qFormat/>
    <w:pPr>
      <w:spacing w:before="240" w:after="0"/>
      <w:ind w:hanging="0" w:start="0" w:end="0"/>
      <w:jc w:val="center"/>
    </w:pPr>
    <w:rPr>
      <w:caps/>
    </w:rPr>
  </w:style>
  <w:style w:type="paragraph" w:styleId="basetoc">
    <w:name w:val="base toc"/>
    <w:basedOn w:val="Normal"/>
    <w:qFormat/>
    <w:pPr>
      <w:tabs>
        <w:tab w:val="clear" w:pos="720"/>
        <w:tab w:val="right" w:pos="9360" w:leader="none"/>
      </w:tabs>
      <w:spacing w:before="240" w:after="0"/>
      <w:ind w:hanging="720" w:start="720" w:end="720"/>
    </w:pPr>
    <w:rPr/>
  </w:style>
  <w:style w:type="paragraph" w:styleId="TableofAuthorities">
    <w:name w:val="Table of Authorities"/>
    <w:basedOn w:val="basetoc"/>
    <w:qFormat/>
    <w:pPr/>
    <w:rPr/>
  </w:style>
  <w:style w:type="paragraph" w:styleId="TOC1">
    <w:name w:val="toc 1"/>
    <w:basedOn w:val="basetoc"/>
    <w:pPr>
      <w:tabs>
        <w:tab w:val="right" w:pos="9360" w:leader="dot"/>
      </w:tabs>
    </w:pPr>
    <w:rPr>
      <w:caps/>
    </w:rPr>
  </w:style>
  <w:style w:type="paragraph" w:styleId="FootnoteText">
    <w:name w:val="footnote text"/>
    <w:basedOn w:val="Normal"/>
    <w:pPr>
      <w:tabs>
        <w:tab w:val="clear" w:pos="720"/>
        <w:tab w:val="left" w:pos="360" w:leader="none"/>
      </w:tabs>
      <w:spacing w:before="0" w:after="200"/>
    </w:pPr>
    <w:rPr>
      <w:sz w:val="20"/>
    </w:rPr>
  </w:style>
  <w:style w:type="paragraph" w:styleId="TOC2">
    <w:name w:val="toc 2"/>
    <w:basedOn w:val="basetoc"/>
    <w:pPr>
      <w:tabs>
        <w:tab w:val="right" w:pos="9360" w:leader="dot"/>
      </w:tabs>
      <w:ind w:hanging="720" w:start="1440" w:end="720"/>
    </w:pPr>
    <w:rPr/>
  </w:style>
  <w:style w:type="paragraph" w:styleId="TOC3">
    <w:name w:val="toc 3"/>
    <w:basedOn w:val="basetoc"/>
    <w:pPr>
      <w:tabs>
        <w:tab w:val="right" w:pos="9360" w:leader="dot"/>
      </w:tabs>
      <w:ind w:hanging="720" w:start="2160" w:end="720"/>
    </w:pPr>
    <w:rPr/>
  </w:style>
  <w:style w:type="paragraph" w:styleId="TOC4">
    <w:name w:val="toc 4"/>
    <w:basedOn w:val="basetoc"/>
    <w:pPr>
      <w:tabs>
        <w:tab w:val="right" w:pos="9360" w:leader="dot"/>
      </w:tabs>
      <w:ind w:hanging="720" w:start="2880" w:end="720"/>
    </w:pPr>
    <w:rPr/>
  </w:style>
  <w:style w:type="paragraph" w:styleId="TOC5">
    <w:name w:val="toc 5"/>
    <w:basedOn w:val="basetoc"/>
    <w:pPr>
      <w:tabs>
        <w:tab w:val="right" w:pos="9360" w:leader="dot"/>
      </w:tabs>
      <w:ind w:hanging="720" w:start="3600" w:end="720"/>
    </w:pPr>
    <w:rPr/>
  </w:style>
  <w:style w:type="paragraph" w:styleId="TOC6">
    <w:name w:val="toc 6"/>
    <w:basedOn w:val="basetoc"/>
    <w:pPr>
      <w:tabs>
        <w:tab w:val="right" w:pos="9360" w:leader="dot"/>
      </w:tabs>
      <w:ind w:hanging="720" w:start="4320" w:end="720"/>
    </w:pPr>
    <w:rPr/>
  </w:style>
  <w:style w:type="paragraph" w:styleId="TOC9">
    <w:name w:val="toc 9"/>
    <w:basedOn w:val="basetoc"/>
    <w:pPr>
      <w:tabs>
        <w:tab w:val="right" w:pos="9360" w:leader="dot"/>
      </w:tabs>
      <w:ind w:hanging="720" w:start="6480" w:end="720"/>
    </w:pPr>
    <w:rPr>
      <w:caps/>
    </w:rPr>
  </w:style>
  <w:style w:type="paragraph" w:styleId="bodytext-bullet">
    <w:name w:val="body text - bullet"/>
    <w:basedOn w:val="bodytext1"/>
    <w:qFormat/>
    <w:pPr>
      <w:numPr>
        <w:ilvl w:val="0"/>
        <w:numId w:val="4"/>
      </w:numPr>
      <w:tabs>
        <w:tab w:val="clear" w:pos="720"/>
        <w:tab w:val="left" w:pos="1440" w:leader="none"/>
      </w:tabs>
      <w:ind w:firstLine="720" w:start="0" w:end="0"/>
    </w:pPr>
    <w:rPr/>
  </w:style>
  <w:style w:type="paragraph" w:styleId="bodytext-number">
    <w:name w:val="body text - number"/>
    <w:basedOn w:val="bodytext1"/>
    <w:qFormat/>
    <w:pPr>
      <w:numPr>
        <w:ilvl w:val="0"/>
        <w:numId w:val="6"/>
      </w:numPr>
      <w:tabs>
        <w:tab w:val="clear" w:pos="720"/>
        <w:tab w:val="left" w:pos="1440" w:leader="none"/>
      </w:tabs>
      <w:ind w:firstLine="720" w:start="0" w:end="0"/>
    </w:pPr>
    <w:rPr/>
  </w:style>
  <w:style w:type="paragraph" w:styleId="indent-bullet">
    <w:name w:val="indent - bullet"/>
    <w:basedOn w:val="indent"/>
    <w:qFormat/>
    <w:pPr>
      <w:numPr>
        <w:ilvl w:val="0"/>
        <w:numId w:val="5"/>
      </w:numPr>
      <w:tabs>
        <w:tab w:val="left" w:pos="720" w:leader="none"/>
      </w:tabs>
      <w:ind w:hanging="720" w:start="720" w:end="720"/>
    </w:pPr>
    <w:rPr/>
  </w:style>
  <w:style w:type="paragraph" w:styleId="Logo">
    <w:name w:val="Logo"/>
    <w:basedOn w:val="Normal"/>
    <w:qFormat/>
    <w:pPr/>
    <w:rPr/>
  </w:style>
  <w:style w:type="paragraph" w:styleId="Header">
    <w:name w:val="header"/>
    <w:basedOn w:val="Normal"/>
    <w:pPr>
      <w:widowControl w:val="false"/>
      <w:tabs>
        <w:tab w:val="clear" w:pos="720"/>
        <w:tab w:val="center" w:pos="4680" w:leader="none"/>
        <w:tab w:val="right" w:pos="9000" w:leader="none"/>
      </w:tabs>
    </w:pPr>
    <w:rPr/>
  </w:style>
  <w:style w:type="paragraph" w:styleId="bodytext-left">
    <w:name w:val="body text-left"/>
    <w:basedOn w:val="bodytext1"/>
    <w:next w:val="bodytext1"/>
    <w:qFormat/>
    <w:pPr>
      <w:ind w:hanging="0" w:start="0" w:end="0"/>
    </w:pPr>
    <w:rPr/>
  </w:style>
  <w:style w:type="paragraph" w:styleId="centeredheading">
    <w:name w:val="centered heading"/>
    <w:basedOn w:val="baseheading"/>
    <w:qFormat/>
    <w:pPr>
      <w:ind w:hanging="0" w:start="0" w:end="0"/>
      <w:jc w:val="center"/>
    </w:pPr>
    <w:rPr>
      <w:caps/>
    </w:rPr>
  </w:style>
  <w:style w:type="paragraph" w:styleId="endnoteindent">
    <w:name w:val="endnote indent"/>
    <w:basedOn w:val="EndnoteText"/>
    <w:next w:val="EndnoteText"/>
    <w:qFormat/>
    <w:pPr>
      <w:ind w:hanging="0" w:start="720" w:end="720"/>
    </w:pPr>
    <w:rPr/>
  </w:style>
  <w:style w:type="paragraph" w:styleId="endnoteindenthang">
    <w:name w:val="endnote indent hang"/>
    <w:basedOn w:val="endnoteindent"/>
    <w:qFormat/>
    <w:pPr>
      <w:ind w:hanging="360" w:start="1080" w:end="720"/>
    </w:pPr>
    <w:rPr/>
  </w:style>
  <w:style w:type="paragraph" w:styleId="footnote-indent">
    <w:name w:val="footnote-indent"/>
    <w:basedOn w:val="FootnoteText"/>
    <w:next w:val="FootnoteText"/>
    <w:qFormat/>
    <w:pPr>
      <w:ind w:hanging="0" w:start="720" w:end="720"/>
    </w:pPr>
    <w:rPr/>
  </w:style>
  <w:style w:type="paragraph" w:styleId="footnote-indenthang">
    <w:name w:val="footnote-indent hang"/>
    <w:basedOn w:val="footnote-indent"/>
    <w:qFormat/>
    <w:pPr>
      <w:ind w:hanging="360" w:start="1080" w:end="720"/>
    </w:pPr>
    <w:rPr/>
  </w:style>
  <w:style w:type="paragraph" w:styleId="Index1">
    <w:name w:val="index 1"/>
    <w:basedOn w:val="basetoc"/>
    <w:pPr>
      <w:tabs>
        <w:tab w:val="right" w:pos="9360" w:leader="dot"/>
      </w:tabs>
    </w:pPr>
    <w:rPr/>
  </w:style>
  <w:style w:type="paragraph" w:styleId="indent-hang">
    <w:name w:val="indent-hang"/>
    <w:basedOn w:val="indent"/>
    <w:qFormat/>
    <w:pPr>
      <w:ind w:hanging="720" w:start="1440" w:end="720"/>
    </w:pPr>
    <w:rPr/>
  </w:style>
  <w:style w:type="paragraph" w:styleId="TOC7">
    <w:name w:val="toc 7"/>
    <w:basedOn w:val="basetoc"/>
    <w:pPr>
      <w:tabs>
        <w:tab w:val="right" w:pos="9360" w:leader="dot"/>
      </w:tabs>
      <w:ind w:hanging="720" w:start="5040" w:end="720"/>
    </w:pPr>
    <w:rPr/>
  </w:style>
  <w:style w:type="paragraph" w:styleId="leftheading">
    <w:name w:val="left heading"/>
    <w:basedOn w:val="baseheading"/>
    <w:next w:val="bodytext1"/>
    <w:qFormat/>
    <w:pPr>
      <w:ind w:hanging="0" w:start="0" w:end="0"/>
    </w:pPr>
    <w:rPr/>
  </w:style>
  <w:style w:type="paragraph" w:styleId="TOATitle">
    <w:name w:val="TOA Title"/>
    <w:basedOn w:val="centeredheading"/>
    <w:next w:val="TOAHeading"/>
    <w:qFormat/>
    <w:pPr>
      <w:spacing w:before="0" w:after="120"/>
    </w:pPr>
    <w:rPr/>
  </w:style>
  <w:style w:type="paragraph" w:styleId="TOCTitle">
    <w:name w:val="TOC Title"/>
    <w:basedOn w:val="centeredheading"/>
    <w:qFormat/>
    <w:pPr>
      <w:spacing w:before="0" w:after="240"/>
    </w:pPr>
    <w:rPr/>
  </w:style>
  <w:style w:type="paragraph" w:styleId="TOC8">
    <w:name w:val="toc 8"/>
    <w:basedOn w:val="basetoc"/>
    <w:pPr>
      <w:tabs>
        <w:tab w:val="right" w:pos="9360" w:leader="dot"/>
      </w:tabs>
      <w:ind w:hanging="720" w:start="5760" w:end="720"/>
    </w:pPr>
    <w:rPr/>
  </w:style>
  <w:style w:type="paragraph" w:styleId="BodyTextIndent">
    <w:name w:val="Body Text Indent"/>
    <w:basedOn w:val="Normal"/>
    <w:pPr>
      <w:spacing w:lineRule="auto" w:line="480"/>
      <w:ind w:firstLine="360" w:start="0" w:end="0"/>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2000-03-01T14:01:00Z</dcterms:created>
  <dc:creator>Robert Fallon                 3519</dc:creator>
  <dc:description/>
  <dc:language>en-CA</dc:language>
  <cp:lastModifiedBy>scorman</cp:lastModifiedBy>
  <cp:lastPrinted>2000-03-01T10:30:00Z</cp:lastPrinted>
  <dcterms:modified xsi:type="dcterms:W3CDTF">2000-03-01T14:01:00Z</dcterms:modified>
  <cp:revision>2</cp:revision>
  <dc:subject/>
  <dc:title>INGAA request for rehearing.doc</dc:title>
</cp:coreProperties>
</file>