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bCs/>
          <w:sz w:val="24"/>
          <w:szCs w:val="24"/>
        </w:rPr>
      </w:pPr>
      <w:r>
        <w:rPr>
          <w:b/>
          <w:bCs/>
          <w:sz w:val="24"/>
          <w:szCs w:val="24"/>
        </w:rPr>
        <w:t xml:space="preserve">BEFORE THE </w:t>
      </w:r>
    </w:p>
    <w:p>
      <w:pPr>
        <w:pStyle w:val="Normal"/>
        <w:jc w:val="center"/>
        <w:rPr>
          <w:b/>
          <w:bCs/>
          <w:sz w:val="24"/>
          <w:szCs w:val="24"/>
        </w:rPr>
      </w:pPr>
      <w:r>
        <w:rPr>
          <w:b/>
          <w:bCs/>
          <w:sz w:val="24"/>
          <w:szCs w:val="24"/>
        </w:rPr>
        <w:t>FEDERAL ENERGY REGULATORY COMMISSION</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both"/>
        <w:rPr>
          <w:sz w:val="24"/>
          <w:szCs w:val="24"/>
        </w:rPr>
      </w:pPr>
      <w:r>
        <w:rPr>
          <w:sz w:val="24"/>
          <w:szCs w:val="24"/>
        </w:rPr>
        <w:t>Standards for Business Practices</w:t>
        <w:tab/>
        <w:tab/>
        <w:tab/>
        <w:t>)</w:t>
        <w:tab/>
      </w:r>
    </w:p>
    <w:p>
      <w:pPr>
        <w:pStyle w:val="Normal"/>
        <w:jc w:val="both"/>
        <w:rPr>
          <w:sz w:val="24"/>
          <w:szCs w:val="24"/>
        </w:rPr>
      </w:pPr>
      <w:r>
        <w:rPr>
          <w:sz w:val="24"/>
          <w:szCs w:val="24"/>
        </w:rPr>
        <w:t xml:space="preserve">Of Interstate Natural Gas Pipelines                       </w:t>
        <w:tab/>
        <w:t>)</w:t>
        <w:tab/>
        <w:t>Docket No. RM96-1-020</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ind w:start="4320" w:end="0"/>
        <w:rPr>
          <w:b/>
          <w:bCs/>
          <w:sz w:val="24"/>
          <w:szCs w:val="24"/>
        </w:rPr>
      </w:pPr>
      <w:r>
        <w:rPr>
          <w:b/>
          <w:bCs/>
          <w:sz w:val="24"/>
          <w:szCs w:val="24"/>
        </w:rPr>
      </w:r>
    </w:p>
    <w:p>
      <w:pPr>
        <w:pStyle w:val="Normal"/>
        <w:jc w:val="center"/>
        <w:rPr>
          <w:b/>
          <w:bCs/>
          <w:sz w:val="24"/>
          <w:szCs w:val="24"/>
        </w:rPr>
      </w:pPr>
      <w:r>
        <w:rPr>
          <w:b/>
          <w:bCs/>
          <w:sz w:val="24"/>
          <w:szCs w:val="24"/>
        </w:rPr>
        <w:t>COMMENTS</w:t>
      </w:r>
    </w:p>
    <w:p>
      <w:pPr>
        <w:pStyle w:val="Normal"/>
        <w:jc w:val="center"/>
        <w:rPr>
          <w:b/>
          <w:bCs/>
          <w:sz w:val="24"/>
          <w:szCs w:val="24"/>
          <w:u w:val="single"/>
        </w:rPr>
      </w:pPr>
      <w:r>
        <w:rPr>
          <w:b/>
          <w:bCs/>
          <w:sz w:val="24"/>
          <w:szCs w:val="24"/>
          <w:u w:val="single"/>
        </w:rPr>
        <w:t>OF ENRON INTERSTATE PIPELINES</w:t>
      </w:r>
    </w:p>
    <w:p>
      <w:pPr>
        <w:pStyle w:val="Normal"/>
        <w:jc w:val="center"/>
        <w:rPr>
          <w:b/>
          <w:bCs/>
          <w:sz w:val="24"/>
          <w:szCs w:val="24"/>
          <w:u w:val="single"/>
        </w:rPr>
      </w:pPr>
      <w:r>
        <w:rPr>
          <w:b/>
          <w:bCs/>
          <w:sz w:val="24"/>
          <w:szCs w:val="24"/>
          <w:u w:val="single"/>
        </w:rPr>
      </w:r>
    </w:p>
    <w:p>
      <w:pPr>
        <w:pStyle w:val="BodyTextStyle"/>
        <w:jc w:val="start"/>
        <w:rPr/>
      </w:pPr>
      <w:r>
        <w:rPr>
          <w:rFonts w:eastAsia="Times New Roman" w:cs="Times New Roman" w:ascii="Times New Roman" w:hAnsi="Times New Roman"/>
          <w:b/>
          <w:bCs/>
        </w:rPr>
        <w:tab/>
      </w:r>
      <w:r>
        <w:rPr>
          <w:rFonts w:eastAsia="Times New Roman" w:cs="Times New Roman" w:ascii="Times New Roman" w:hAnsi="Times New Roman"/>
        </w:rPr>
        <w:t>Pursuant to the Notice of Proposed Rulemaking (NOPR) issued by the Federal Energy Regulatory Commission (FERC or Commission) in the above-captioned docket, the Enron Interstate Pipelines (EIP)</w:t>
      </w:r>
      <w:r>
        <w:rPr>
          <w:rStyle w:val="FootnoteCharacters"/>
          <w:rStyle w:val="FootnoteReference"/>
          <w:rFonts w:eastAsia="Times New Roman" w:cs="Times New Roman" w:ascii="Times New Roman" w:hAnsi="Times New Roman"/>
        </w:rPr>
        <w:footnoteReference w:id="2"/>
      </w:r>
      <w:r>
        <w:rPr>
          <w:rFonts w:eastAsia="Times New Roman" w:cs="Times New Roman" w:ascii="Times New Roman" w:hAnsi="Times New Roman"/>
        </w:rPr>
        <w:t xml:space="preserve"> submits its comments on the Commission’s proposal to amend § 284.12 of its regulations governing standards for conducting business practices and electronic communication with interstate natural gas pipelines</w:t>
      </w:r>
      <w:r>
        <w:rPr>
          <w:rStyle w:val="FootnoteCharacters"/>
          <w:rStyle w:val="FootnoteReference"/>
          <w:rFonts w:eastAsia="Times New Roman" w:cs="Times New Roman" w:ascii="Times New Roman" w:hAnsi="Times New Roman"/>
        </w:rPr>
        <w:footnoteReference w:id="3"/>
      </w:r>
      <w:r>
        <w:rPr>
          <w:rFonts w:eastAsia="Times New Roman" w:cs="Times New Roman" w:ascii="Times New Roman" w:hAnsi="Times New Roman"/>
        </w:rPr>
        <w:t xml:space="preserve">.  </w:t>
      </w:r>
    </w:p>
    <w:p>
      <w:pPr>
        <w:pStyle w:val="BodyTextStyle"/>
        <w:jc w:val="center"/>
        <w:rPr>
          <w:rFonts w:ascii="Times New Roman" w:hAnsi="Times New Roman" w:eastAsia="Times New Roman" w:cs="Times New Roman"/>
          <w:b/>
          <w:bCs/>
        </w:rPr>
      </w:pPr>
      <w:r>
        <w:rPr>
          <w:rFonts w:eastAsia="Times New Roman" w:cs="Times New Roman" w:ascii="Times New Roman" w:hAnsi="Times New Roman"/>
          <w:b/>
          <w:bCs/>
        </w:rPr>
        <w:t>I.</w:t>
      </w:r>
    </w:p>
    <w:p>
      <w:pPr>
        <w:pStyle w:val="BodyTextStyle"/>
        <w:jc w:val="center"/>
        <w:rPr>
          <w:rFonts w:ascii="Times New Roman" w:hAnsi="Times New Roman" w:eastAsia="Times New Roman" w:cs="Times New Roman"/>
          <w:b/>
          <w:bCs/>
        </w:rPr>
      </w:pPr>
      <w:r>
        <w:rPr>
          <w:rFonts w:eastAsia="Times New Roman" w:cs="Times New Roman" w:ascii="Times New Roman" w:hAnsi="Times New Roman"/>
          <w:b/>
          <w:bCs/>
        </w:rPr>
        <w:t>CORRESPONDENCE</w:t>
      </w:r>
    </w:p>
    <w:p>
      <w:pPr>
        <w:pStyle w:val="WW-BodyText21"/>
        <w:spacing w:lineRule="auto" w:line="240"/>
        <w:ind w:firstLine="1440" w:end="0"/>
        <w:rPr>
          <w:sz w:val="24"/>
          <w:szCs w:val="24"/>
        </w:rPr>
      </w:pPr>
      <w:r>
        <w:rPr>
          <w:sz w:val="24"/>
          <w:szCs w:val="24"/>
        </w:rPr>
        <w:t>All correspondence and communications with regard to this filing should be directed to:</w:t>
      </w:r>
    </w:p>
    <w:p>
      <w:pPr>
        <w:pStyle w:val="WW-BodyText21"/>
        <w:ind w:firstLine="1440" w:end="0"/>
        <w:rPr>
          <w:sz w:val="24"/>
          <w:szCs w:val="24"/>
        </w:rPr>
      </w:pPr>
      <w:r>
        <w:rPr>
          <w:sz w:val="24"/>
          <w:szCs w:val="24"/>
        </w:rPr>
      </w:r>
    </w:p>
    <w:p>
      <w:pPr>
        <w:pStyle w:val="Normal"/>
        <w:spacing w:lineRule="exact" w:line="240"/>
        <w:ind w:firstLine="270" w:start="2880" w:end="0"/>
        <w:rPr>
          <w:sz w:val="24"/>
          <w:szCs w:val="24"/>
        </w:rPr>
      </w:pPr>
      <w:r>
        <w:rPr>
          <w:sz w:val="24"/>
          <w:szCs w:val="24"/>
        </w:rPr>
        <w:t>Robert Kilmer, III</w:t>
      </w:r>
    </w:p>
    <w:p>
      <w:pPr>
        <w:pStyle w:val="Normal"/>
        <w:spacing w:lineRule="exact" w:line="240"/>
        <w:ind w:start="3150" w:end="0"/>
        <w:rPr>
          <w:sz w:val="24"/>
          <w:szCs w:val="24"/>
        </w:rPr>
      </w:pPr>
      <w:r>
        <w:rPr>
          <w:sz w:val="24"/>
          <w:szCs w:val="24"/>
        </w:rPr>
        <w:t xml:space="preserve">Vice President, Rates &amp; Certificates </w:t>
      </w:r>
    </w:p>
    <w:p>
      <w:pPr>
        <w:pStyle w:val="Normal"/>
        <w:spacing w:lineRule="exact" w:line="240"/>
        <w:ind w:start="3150" w:end="0"/>
        <w:rPr>
          <w:sz w:val="24"/>
          <w:szCs w:val="24"/>
        </w:rPr>
      </w:pPr>
      <w:r>
        <w:rPr>
          <w:sz w:val="24"/>
          <w:szCs w:val="24"/>
        </w:rPr>
        <w:t>Florida Gas Transmission and Transwestern Pipeline</w:t>
      </w:r>
    </w:p>
    <w:p>
      <w:pPr>
        <w:pStyle w:val="Normal"/>
        <w:spacing w:lineRule="exact" w:line="240"/>
        <w:ind w:start="3150" w:end="0"/>
        <w:rPr>
          <w:sz w:val="24"/>
          <w:szCs w:val="24"/>
        </w:rPr>
      </w:pPr>
      <w:r>
        <w:rPr>
          <w:sz w:val="24"/>
          <w:szCs w:val="24"/>
        </w:rPr>
        <w:t>1400 Smith Street, P.O. Box 1188</w:t>
      </w:r>
    </w:p>
    <w:p>
      <w:pPr>
        <w:pStyle w:val="Normal"/>
        <w:spacing w:lineRule="exact" w:line="240"/>
        <w:ind w:start="3150" w:end="0"/>
        <w:rPr>
          <w:sz w:val="24"/>
          <w:szCs w:val="24"/>
        </w:rPr>
      </w:pPr>
      <w:r>
        <w:rPr>
          <w:sz w:val="24"/>
          <w:szCs w:val="24"/>
        </w:rPr>
        <w:t>Houston, TX  77251-1188</w:t>
      </w:r>
    </w:p>
    <w:p>
      <w:pPr>
        <w:pStyle w:val="Normal"/>
        <w:spacing w:lineRule="exact" w:line="240"/>
        <w:ind w:start="3150" w:end="0"/>
        <w:rPr>
          <w:sz w:val="24"/>
          <w:szCs w:val="24"/>
        </w:rPr>
      </w:pPr>
      <w:r>
        <w:rPr>
          <w:sz w:val="24"/>
          <w:szCs w:val="24"/>
        </w:rPr>
        <w:t>Phone:  713-853-6160</w:t>
      </w:r>
    </w:p>
    <w:p>
      <w:pPr>
        <w:pStyle w:val="Normal"/>
        <w:spacing w:lineRule="exact" w:line="240"/>
        <w:ind w:start="3150" w:end="0"/>
        <w:rPr>
          <w:sz w:val="24"/>
          <w:szCs w:val="24"/>
        </w:rPr>
      </w:pPr>
      <w:r>
        <w:rPr>
          <w:sz w:val="24"/>
          <w:szCs w:val="24"/>
        </w:rPr>
        <w:t>Email:  robert.kilmer@enron.com</w:t>
      </w:r>
    </w:p>
    <w:p>
      <w:pPr>
        <w:pStyle w:val="Normal"/>
        <w:spacing w:lineRule="exact" w:line="240"/>
        <w:ind w:start="3150" w:end="0"/>
        <w:rPr>
          <w:sz w:val="24"/>
          <w:szCs w:val="24"/>
        </w:rPr>
      </w:pPr>
      <w:r>
        <w:rPr>
          <w:sz w:val="24"/>
          <w:szCs w:val="24"/>
        </w:rPr>
      </w:r>
    </w:p>
    <w:p>
      <w:pPr>
        <w:pStyle w:val="Normal"/>
        <w:spacing w:lineRule="exact" w:line="240"/>
        <w:ind w:start="3150" w:end="0"/>
        <w:rPr>
          <w:sz w:val="24"/>
          <w:szCs w:val="24"/>
        </w:rPr>
      </w:pPr>
      <w:r>
        <w:rPr>
          <w:sz w:val="24"/>
          <w:szCs w:val="24"/>
        </w:rPr>
      </w:r>
    </w:p>
    <w:p>
      <w:pPr>
        <w:pStyle w:val="Normal"/>
        <w:spacing w:lineRule="exact" w:line="240"/>
        <w:ind w:start="3150" w:end="0"/>
        <w:rPr>
          <w:sz w:val="24"/>
          <w:szCs w:val="24"/>
        </w:rPr>
      </w:pPr>
      <w:r>
        <w:rPr>
          <w:sz w:val="24"/>
          <w:szCs w:val="24"/>
        </w:rPr>
        <w:t>Theresa L. Hess</w:t>
      </w:r>
    </w:p>
    <w:p>
      <w:pPr>
        <w:pStyle w:val="Normal"/>
        <w:spacing w:lineRule="exact" w:line="240"/>
        <w:ind w:start="3150" w:end="0"/>
        <w:rPr>
          <w:sz w:val="24"/>
          <w:szCs w:val="24"/>
        </w:rPr>
      </w:pPr>
      <w:r>
        <w:rPr>
          <w:sz w:val="24"/>
          <w:szCs w:val="24"/>
        </w:rPr>
        <w:t>Manager, GISB Business Standards &amp; Development</w:t>
      </w:r>
    </w:p>
    <w:p>
      <w:pPr>
        <w:pStyle w:val="Normal"/>
        <w:spacing w:lineRule="exact" w:line="240"/>
        <w:ind w:start="3150" w:end="0"/>
        <w:rPr>
          <w:sz w:val="24"/>
          <w:szCs w:val="24"/>
        </w:rPr>
      </w:pPr>
      <w:r>
        <w:rPr>
          <w:sz w:val="24"/>
          <w:szCs w:val="24"/>
        </w:rPr>
        <w:t>Enron Transportation Services Company</w:t>
      </w:r>
    </w:p>
    <w:p>
      <w:pPr>
        <w:pStyle w:val="Normal"/>
        <w:spacing w:lineRule="exact" w:line="240"/>
        <w:ind w:start="3150" w:end="0"/>
        <w:rPr>
          <w:sz w:val="24"/>
          <w:szCs w:val="24"/>
        </w:rPr>
      </w:pPr>
      <w:r>
        <w:rPr>
          <w:sz w:val="24"/>
          <w:szCs w:val="24"/>
        </w:rPr>
        <w:t>1400 Smith Street, P.O. Box 1188</w:t>
      </w:r>
    </w:p>
    <w:p>
      <w:pPr>
        <w:pStyle w:val="Normal"/>
        <w:spacing w:lineRule="exact" w:line="240"/>
        <w:ind w:start="3150" w:end="0"/>
        <w:rPr>
          <w:sz w:val="24"/>
          <w:szCs w:val="24"/>
        </w:rPr>
      </w:pPr>
      <w:r>
        <w:rPr>
          <w:sz w:val="24"/>
          <w:szCs w:val="24"/>
        </w:rPr>
        <w:t>Houston, TX  77251-1188</w:t>
      </w:r>
    </w:p>
    <w:p>
      <w:pPr>
        <w:pStyle w:val="Normal"/>
        <w:spacing w:lineRule="exact" w:line="240"/>
        <w:ind w:start="3150" w:end="0"/>
        <w:rPr>
          <w:sz w:val="24"/>
          <w:szCs w:val="24"/>
        </w:rPr>
      </w:pPr>
      <w:r>
        <w:rPr>
          <w:sz w:val="24"/>
          <w:szCs w:val="24"/>
        </w:rPr>
        <w:t>Phone:  713-853-4895</w:t>
      </w:r>
    </w:p>
    <w:p>
      <w:pPr>
        <w:pStyle w:val="Normal"/>
        <w:spacing w:lineRule="exact" w:line="240"/>
        <w:ind w:start="3150" w:end="0"/>
        <w:rPr>
          <w:sz w:val="24"/>
          <w:szCs w:val="24"/>
        </w:rPr>
      </w:pPr>
      <w:r>
        <w:rPr>
          <w:sz w:val="24"/>
          <w:szCs w:val="24"/>
        </w:rPr>
        <w:t>Email:  theresa.hess@enron.com</w:t>
      </w:r>
    </w:p>
    <w:p>
      <w:pPr>
        <w:pStyle w:val="BodyText2"/>
        <w:spacing w:lineRule="auto" w:line="240"/>
        <w:rPr>
          <w:sz w:val="24"/>
          <w:szCs w:val="24"/>
        </w:rPr>
      </w:pPr>
      <w:r>
        <w:rPr>
          <w:sz w:val="24"/>
          <w:szCs w:val="24"/>
        </w:rPr>
      </w:r>
    </w:p>
    <w:p>
      <w:pPr>
        <w:pStyle w:val="BodyText2"/>
        <w:spacing w:lineRule="auto" w:line="240"/>
        <w:rPr/>
      </w:pPr>
      <w:r>
        <w:rPr/>
      </w:r>
    </w:p>
    <w:p>
      <w:pPr>
        <w:pStyle w:val="BodyText2"/>
        <w:spacing w:lineRule="auto" w:line="240"/>
        <w:jc w:val="center"/>
        <w:rPr>
          <w:b/>
          <w:bCs/>
        </w:rPr>
      </w:pPr>
      <w:r>
        <w:rPr>
          <w:b/>
          <w:bCs/>
        </w:rPr>
        <w:t xml:space="preserve">II.  </w:t>
      </w:r>
    </w:p>
    <w:p>
      <w:pPr>
        <w:pStyle w:val="BodyText2"/>
        <w:spacing w:lineRule="auto" w:line="240"/>
        <w:jc w:val="center"/>
        <w:rPr>
          <w:b/>
          <w:bCs/>
          <w:u w:val="single"/>
        </w:rPr>
      </w:pPr>
      <w:r>
        <w:rPr>
          <w:b/>
          <w:bCs/>
          <w:u w:val="single"/>
        </w:rPr>
        <w:t>SUMMARY</w:t>
      </w:r>
    </w:p>
    <w:p>
      <w:pPr>
        <w:pStyle w:val="BodyText2"/>
        <w:spacing w:lineRule="auto" w:line="240"/>
        <w:jc w:val="center"/>
        <w:rPr>
          <w:b/>
          <w:bCs/>
          <w:u w:val="single"/>
        </w:rPr>
      </w:pPr>
      <w:r>
        <w:rPr>
          <w:b/>
          <w:bCs/>
          <w:u w:val="single"/>
        </w:rPr>
      </w:r>
    </w:p>
    <w:p>
      <w:pPr>
        <w:pStyle w:val="BodyText2"/>
        <w:spacing w:lineRule="auto" w:line="240"/>
        <w:jc w:val="center"/>
        <w:rPr>
          <w:b/>
          <w:bCs/>
          <w:u w:val="single"/>
        </w:rPr>
      </w:pPr>
      <w:r>
        <w:rPr>
          <w:b/>
          <w:bCs/>
          <w:u w:val="single"/>
        </w:rPr>
      </w:r>
    </w:p>
    <w:p>
      <w:pPr>
        <w:pStyle w:val="BodyText2"/>
        <w:rPr/>
      </w:pPr>
      <w:r>
        <w:rPr/>
        <w:tab/>
        <w:t>In the NOPR, the Commission proposes to incorporate by reference the most recent version of the standards, version 1.5, promulgated by the Gas Industry Standards Board.  The Commission also requests comment on the adoption of revised GISB Standard No. 5.3.2, which addresses the timeline for capacity release transactions.  For the reasons stated below, the Enron Interstate Pipelines supports adoption of the proposals set forth in the NOPR; offers comments with respect to the additional question on the capacity release timeline raised in the NOPR; and requests clarification on the implementation dates for version 1.5 as a whole and for the title transfer tracking standards.</w:t>
      </w:r>
    </w:p>
    <w:p>
      <w:pPr>
        <w:pStyle w:val="BodyText2"/>
        <w:spacing w:lineRule="auto" w:line="240"/>
        <w:rPr/>
      </w:pPr>
      <w:r>
        <w:rPr/>
        <w:t xml:space="preserve"> </w:t>
      </w:r>
    </w:p>
    <w:p>
      <w:pPr>
        <w:pStyle w:val="BodyText2"/>
        <w:spacing w:lineRule="auto" w:line="240"/>
        <w:jc w:val="center"/>
        <w:rPr>
          <w:b/>
          <w:bCs/>
        </w:rPr>
      </w:pPr>
      <w:r>
        <w:rPr>
          <w:b/>
          <w:bCs/>
        </w:rPr>
        <w:t>III.</w:t>
      </w:r>
    </w:p>
    <w:p>
      <w:pPr>
        <w:pStyle w:val="BodyText2"/>
        <w:jc w:val="center"/>
        <w:rPr>
          <w:b/>
          <w:bCs/>
        </w:rPr>
      </w:pPr>
      <w:r>
        <w:rPr>
          <w:b/>
          <w:bCs/>
        </w:rPr>
        <w:t>COMMENTS</w:t>
      </w:r>
    </w:p>
    <w:p>
      <w:pPr>
        <w:pStyle w:val="BodyText2"/>
        <w:spacing w:lineRule="auto" w:line="24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The Enron Interstate Pipelines Supports the Adoption of Version 1.5 of the GISB Standards</w:t>
      </w:r>
    </w:p>
    <w:p>
      <w:pPr>
        <w:pStyle w:val="BodyText2"/>
        <w:numPr>
          <w:ilvl w:val="0"/>
          <w:numId w:val="0"/>
        </w:numPr>
        <w:spacing w:lineRule="auto" w:line="240"/>
        <w:ind w:hanging="0" w:start="0"/>
        <w:rPr>
          <w:b/>
          <w:bCs/>
        </w:rPr>
      </w:pPr>
      <w:r>
        <w:rPr>
          <w:b/>
          <w:bCs/>
        </w:rPr>
      </w:r>
    </w:p>
    <w:p>
      <w:pPr>
        <w:pStyle w:val="BodyText2"/>
        <w:numPr>
          <w:ilvl w:val="0"/>
          <w:numId w:val="0"/>
        </w:numPr>
        <w:ind w:hanging="0" w:start="0" w:end="0"/>
        <w:rPr/>
      </w:pPr>
      <w:r>
        <w:rPr/>
        <w:t>The Enron Interstate Pipelines supports common practices that help facilitate a seamless interstate gas grid.  To this end, the Commission should adopt version 1.5 of the GISB business practices standards as promulgated through the GISB consensus process.  As noted by the FERC in Order No. 587,</w:t>
      </w:r>
    </w:p>
    <w:p>
      <w:pPr>
        <w:pStyle w:val="Normal"/>
        <w:numPr>
          <w:ilvl w:val="0"/>
          <w:numId w:val="0"/>
        </w:numPr>
        <w:ind w:hanging="0" w:start="1530" w:end="0"/>
        <w:rPr>
          <w:sz w:val="24"/>
          <w:szCs w:val="24"/>
        </w:rPr>
      </w:pPr>
      <w:r>
        <w:rPr>
          <w:sz w:val="24"/>
          <w:szCs w:val="24"/>
        </w:rPr>
        <w:t xml:space="preserve"> “</w:t>
      </w:r>
      <w:r>
        <w:rPr>
          <w:sz w:val="24"/>
          <w:szCs w:val="24"/>
        </w:rPr>
        <w:t>[T]he Commission recognizes that not every standard</w:t>
      </w:r>
    </w:p>
    <w:p>
      <w:pPr>
        <w:pStyle w:val="Normal"/>
        <w:numPr>
          <w:ilvl w:val="0"/>
          <w:numId w:val="0"/>
        </w:numPr>
        <w:ind w:hanging="0" w:start="1530" w:end="0"/>
        <w:rPr>
          <w:sz w:val="24"/>
          <w:szCs w:val="24"/>
        </w:rPr>
      </w:pPr>
      <w:r>
        <w:rPr>
          <w:sz w:val="24"/>
          <w:szCs w:val="24"/>
        </w:rPr>
        <w:t>commands universal support. In a democratic society, unanimity</w:t>
      </w:r>
    </w:p>
    <w:p>
      <w:pPr>
        <w:pStyle w:val="Normal"/>
        <w:numPr>
          <w:ilvl w:val="0"/>
          <w:numId w:val="0"/>
        </w:numPr>
        <w:ind w:hanging="0" w:start="1530" w:end="0"/>
        <w:rPr>
          <w:sz w:val="24"/>
          <w:szCs w:val="24"/>
        </w:rPr>
      </w:pPr>
      <w:r>
        <w:rPr>
          <w:sz w:val="24"/>
          <w:szCs w:val="24"/>
        </w:rPr>
        <w:t>on matters of common concern is neither expected nor necessary.</w:t>
      </w:r>
    </w:p>
    <w:p>
      <w:pPr>
        <w:pStyle w:val="Normal"/>
        <w:numPr>
          <w:ilvl w:val="0"/>
          <w:numId w:val="0"/>
        </w:numPr>
        <w:ind w:hanging="0" w:start="1530" w:end="0"/>
        <w:rPr>
          <w:sz w:val="24"/>
          <w:szCs w:val="24"/>
        </w:rPr>
      </w:pPr>
      <w:r>
        <w:rPr>
          <w:sz w:val="24"/>
          <w:szCs w:val="24"/>
        </w:rPr>
        <w:t>Standardization, by definition, requires accommodation of varying</w:t>
      </w:r>
    </w:p>
    <w:p>
      <w:pPr>
        <w:pStyle w:val="Normal"/>
        <w:numPr>
          <w:ilvl w:val="0"/>
          <w:numId w:val="0"/>
        </w:numPr>
        <w:ind w:hanging="0" w:start="1530" w:end="0"/>
        <w:rPr>
          <w:sz w:val="24"/>
          <w:szCs w:val="24"/>
        </w:rPr>
      </w:pPr>
      <w:r>
        <w:rPr>
          <w:sz w:val="24"/>
          <w:szCs w:val="24"/>
        </w:rPr>
        <w:t>interests and needs, and rarely can there be a perfect standard</w:t>
      </w:r>
    </w:p>
    <w:p>
      <w:pPr>
        <w:pStyle w:val="Normal"/>
        <w:numPr>
          <w:ilvl w:val="0"/>
          <w:numId w:val="0"/>
        </w:numPr>
        <w:ind w:hanging="0" w:start="1530" w:end="0"/>
        <w:rPr>
          <w:sz w:val="24"/>
          <w:szCs w:val="24"/>
        </w:rPr>
      </w:pPr>
      <w:r>
        <w:rPr>
          <w:sz w:val="24"/>
          <w:szCs w:val="24"/>
        </w:rPr>
        <w:t>satisfactory to all. The Commission is satisfied that GISB's</w:t>
      </w:r>
    </w:p>
    <w:p>
      <w:pPr>
        <w:pStyle w:val="Normal"/>
        <w:numPr>
          <w:ilvl w:val="0"/>
          <w:numId w:val="0"/>
        </w:numPr>
        <w:ind w:hanging="0" w:start="1530" w:end="0"/>
        <w:rPr>
          <w:sz w:val="24"/>
          <w:szCs w:val="24"/>
        </w:rPr>
      </w:pPr>
      <w:r>
        <w:rPr>
          <w:sz w:val="24"/>
          <w:szCs w:val="24"/>
        </w:rPr>
        <w:t>process is open and fair and that the resulting standards</w:t>
      </w:r>
    </w:p>
    <w:p>
      <w:pPr>
        <w:pStyle w:val="BodyText2"/>
        <w:numPr>
          <w:ilvl w:val="0"/>
          <w:numId w:val="0"/>
        </w:numPr>
        <w:ind w:hanging="0" w:start="1530" w:end="0"/>
        <w:rPr/>
      </w:pPr>
      <w:r>
        <w:rPr/>
        <w:t>represent broad agreement across all segments of the industry.”</w:t>
      </w:r>
      <w:r>
        <w:rPr>
          <w:rStyle w:val="FootnoteCharacters"/>
          <w:rStyle w:val="FootnoteReference"/>
        </w:rPr>
        <w:footnoteReference w:id="4"/>
      </w:r>
    </w:p>
    <w:p>
      <w:pPr>
        <w:pStyle w:val="BodyText2"/>
        <w:numPr>
          <w:ilvl w:val="0"/>
          <w:numId w:val="0"/>
        </w:numPr>
        <w:spacing w:lineRule="auto" w:line="240"/>
        <w:ind w:hanging="0" w:start="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GISB Standard No. 5.3.2, the Capacity Release Timeline, Should be Adopted</w:t>
      </w:r>
    </w:p>
    <w:p>
      <w:pPr>
        <w:pStyle w:val="BodyText2"/>
        <w:numPr>
          <w:ilvl w:val="0"/>
          <w:numId w:val="0"/>
        </w:numPr>
        <w:spacing w:lineRule="auto" w:line="240"/>
        <w:ind w:hanging="0" w:start="0"/>
        <w:rPr>
          <w:b/>
          <w:bCs/>
        </w:rPr>
      </w:pPr>
      <w:r>
        <w:rPr>
          <w:b/>
          <w:bCs/>
        </w:rPr>
      </w:r>
    </w:p>
    <w:p>
      <w:pPr>
        <w:pStyle w:val="BodyText2"/>
        <w:numPr>
          <w:ilvl w:val="0"/>
          <w:numId w:val="0"/>
        </w:numPr>
        <w:tabs>
          <w:tab w:val="clear" w:pos="720"/>
          <w:tab w:val="left" w:pos="0" w:leader="none"/>
        </w:tabs>
        <w:ind w:hanging="0" w:start="0" w:end="0"/>
        <w:rPr/>
      </w:pPr>
      <w:r>
        <w:rPr/>
        <w:t>The Enron Interstate Pipelines also urges the Commission to adopt GISB Standard No. 5.3.2.  The Commission has asked for comment on whether the Commission should adopt the one-hour prior notice requirement for pre-arranged capacity release transactions not subject to bidding.  As EIP has stated in reference to GISB version 1.5, the Commission should defer to the consensus standards developed at GISB because, “Since it is the industry that must operate under these standards, deferring to the considered judgment of the consensus of the industry is both reasonable and appropriate.”</w:t>
      </w:r>
      <w:r>
        <w:rPr>
          <w:rStyle w:val="FootnoteCharacters"/>
          <w:rStyle w:val="FootnoteReference"/>
        </w:rPr>
        <w:footnoteReference w:id="5"/>
      </w:r>
      <w:r>
        <w:rPr/>
        <w:t xml:space="preserve">  Under Standard 5.3.2, the shipper must notify the pipeline of a non-biddable pre-arranged capacity release transaction one hour prior to the nomination deadline.  EIP supports this one-hour prior notice timeframe.</w:t>
      </w:r>
    </w:p>
    <w:p>
      <w:pPr>
        <w:pStyle w:val="BodyText2"/>
        <w:numPr>
          <w:ilvl w:val="0"/>
          <w:numId w:val="0"/>
        </w:numPr>
        <w:tabs>
          <w:tab w:val="clear" w:pos="720"/>
          <w:tab w:val="left" w:pos="0" w:leader="none"/>
        </w:tabs>
        <w:ind w:hanging="0" w:start="0" w:end="0"/>
        <w:rPr/>
      </w:pPr>
      <w:r>
        <w:rPr/>
        <w:t>As a proposed business practice, the Commission’s concept of instantaneous nomination precludes a pipeline from having processes to validate whether shippers have legitimate contract rights.  Much as the Commission wants to assume away the practicalities of updating contract databases and running validations of these databases against nominations, the fact is that these processes are not instantaneous.  Contractual rights validation is an important process.  It ensures that the capacity rights are not overlapping on the pipeline system.  It means that the parties that are paying for firm capacity service can rely on the availability of that space.</w:t>
      </w:r>
    </w:p>
    <w:p>
      <w:pPr>
        <w:pStyle w:val="WW-BodyText2"/>
        <w:numPr>
          <w:ilvl w:val="0"/>
          <w:numId w:val="0"/>
        </w:numPr>
        <w:ind w:hanging="0" w:start="0" w:end="0"/>
        <w:rPr>
          <w:b/>
          <w:bCs/>
          <w:i/>
          <w:i/>
          <w:iCs/>
        </w:rPr>
      </w:pPr>
      <w:r>
        <w:rPr/>
        <w:t xml:space="preserve">It takes some minimum element of time to enter contract data into a database and to compare the contract data against nomination data, and the Commission struck a reasonable design compromise in Order No. 637 when it told pipelines that they must handle contract processing within one hour.  That means that if an executed contract is received by the pipeline by 10:30 AM, a pipeline should update its contract databases such that a nomination on that new contract will pass validation at the 11:30 AM Timely Nomination Cycle.  </w:t>
      </w:r>
    </w:p>
    <w:p>
      <w:pPr>
        <w:pStyle w:val="BodyText2"/>
        <w:numPr>
          <w:ilvl w:val="0"/>
          <w:numId w:val="0"/>
        </w:numPr>
        <w:spacing w:lineRule="auto" w:line="240"/>
        <w:ind w:hanging="0" w:start="0"/>
        <w:rPr>
          <w:b/>
          <w:bCs/>
          <w:i/>
          <w:i/>
          <w:iCs/>
        </w:rPr>
      </w:pPr>
      <w:r>
        <w:rPr>
          <w:b/>
          <w:bCs/>
          <w:i/>
          <w:iCs/>
        </w:rPr>
      </w:r>
    </w:p>
    <w:p>
      <w:pPr>
        <w:pStyle w:val="BodyText2"/>
        <w:numPr>
          <w:ilvl w:val="0"/>
          <w:numId w:val="2"/>
        </w:numPr>
        <w:tabs>
          <w:tab w:val="clear" w:pos="720"/>
          <w:tab w:val="left" w:pos="0" w:leader="none"/>
          <w:tab w:val="left" w:pos="360" w:leader="none"/>
        </w:tabs>
        <w:spacing w:lineRule="auto" w:line="240"/>
        <w:ind w:hanging="360" w:start="1080" w:end="0"/>
        <w:rPr>
          <w:b/>
          <w:bCs/>
        </w:rPr>
      </w:pPr>
      <w:r>
        <w:rPr>
          <w:b/>
          <w:bCs/>
        </w:rPr>
        <w:t>EIP Requests Clarification that All Aspects of Version 1.5 will be Implemented the First of the Month Following 90 Days after Issuance of an Order</w:t>
      </w:r>
    </w:p>
    <w:p>
      <w:pPr>
        <w:pStyle w:val="BodyText2"/>
        <w:spacing w:lineRule="auto" w:line="240"/>
        <w:rPr>
          <w:b/>
          <w:bCs/>
        </w:rPr>
      </w:pPr>
      <w:r>
        <w:rPr>
          <w:b/>
          <w:bCs/>
        </w:rPr>
      </w:r>
    </w:p>
    <w:p>
      <w:pPr>
        <w:pStyle w:val="BodyText2"/>
        <w:ind w:firstLine="360" w:end="0"/>
        <w:rPr/>
      </w:pPr>
      <w:r>
        <w:rPr/>
        <w:t>In the NOPR, the Commission states “Pipelines would be required to implement the standards three months after a final rule is issued.”</w:t>
      </w:r>
      <w:r>
        <w:rPr>
          <w:rStyle w:val="FootnoteCharacters"/>
          <w:rStyle w:val="FootnoteReference"/>
        </w:rPr>
        <w:footnoteReference w:id="6"/>
      </w:r>
      <w:r>
        <w:rPr/>
        <w:t xml:space="preserve">  This language differs from past GISB orders, which typically specify that implementation is to occur on the first of the month following 90 days after issuance of a final order.  This specification is critical due to the difficulty in changing business protocols and systems mid-month.  Hence, EIP requests the Commission clarify that implementation of any new or updated standards commence on the first day of the month.</w:t>
      </w:r>
    </w:p>
    <w:p>
      <w:pPr>
        <w:pStyle w:val="BodyText2"/>
        <w:ind w:firstLine="360" w:end="0"/>
        <w:rPr/>
      </w:pPr>
      <w:r>
        <w:rPr/>
        <w:t>Further, the NOPR states that the FERC proposes to adopt GISB Standard No. 1.3.78, which provides that the title transfer tracking (TTT) standards would be implemented “eight months following the publication of the TTT standards within the applicable GISB standards manual.”  Based on the August 18, 2001 publication date of the version 1.5 GISB standards, the implementation date for the TTT standards would be April 18, 2002.  A mid-month implementation date for the TTT standards presents the same problems as discussed above.  Although EIP was in support of Standard 1.3.78 at the time of its adoption by GISB, EIP requests that the Commission exclude this standard.  At the time Standard 1.3.78 was adopted, it was GISB’s practice to publish standards at the end of a month.  A mid-month GISB publication was not anticipated and, therefore, a resultant mid-month implementation was not intended or contemplated.</w:t>
      </w:r>
    </w:p>
    <w:p>
      <w:pPr>
        <w:pStyle w:val="BodyText2"/>
        <w:ind w:firstLine="360" w:end="0"/>
        <w:rPr>
          <w:b/>
          <w:bCs/>
        </w:rPr>
      </w:pPr>
      <w:r>
        <w:rPr/>
        <w:t>Additionally, the TTT standards and the remaining version 1.5 standards should have the same implementation date to allow a pipeline to make all system modifications concurrently.  A single implementation date will save the additional costs of two separate compliance filings for every pipeline, as well as the burden to customers in adjusting to two modifications in business practices and electronic communications.  In support of this clarification, the Commission has acknowledged, “GISB states that due to the interrelation of all the standards, a phased implementation of groups of standards would be difficult to devise.  . . .”</w:t>
      </w:r>
      <w:r>
        <w:rPr>
          <w:rStyle w:val="FootnoteCharacters"/>
          <w:rStyle w:val="FootnoteReference"/>
        </w:rPr>
        <w:footnoteReference w:id="7"/>
      </w:r>
    </w:p>
    <w:p>
      <w:pPr>
        <w:pStyle w:val="BodyText2"/>
        <w:spacing w:lineRule="auto" w:line="240"/>
        <w:jc w:val="center"/>
        <w:rPr>
          <w:b/>
          <w:bCs/>
        </w:rPr>
      </w:pPr>
      <w:r>
        <w:rPr>
          <w:b/>
          <w:bCs/>
        </w:rPr>
        <w:t>IV.</w:t>
      </w:r>
    </w:p>
    <w:p>
      <w:pPr>
        <w:pStyle w:val="BodyText2"/>
        <w:spacing w:lineRule="auto" w:line="240"/>
        <w:jc w:val="center"/>
        <w:rPr>
          <w:b/>
          <w:bCs/>
        </w:rPr>
      </w:pPr>
      <w:r>
        <w:rPr>
          <w:b/>
          <w:bCs/>
        </w:rPr>
        <w:t>CONCLUSION</w:t>
      </w:r>
    </w:p>
    <w:p>
      <w:pPr>
        <w:pStyle w:val="BodyText2"/>
        <w:jc w:val="center"/>
        <w:rPr>
          <w:b/>
          <w:bCs/>
        </w:rPr>
      </w:pPr>
      <w:r>
        <w:rPr>
          <w:b/>
          <w:bCs/>
        </w:rPr>
      </w:r>
    </w:p>
    <w:p>
      <w:pPr>
        <w:pStyle w:val="BodyText2"/>
        <w:ind w:firstLine="720" w:end="0"/>
        <w:rPr/>
      </w:pPr>
      <w:r>
        <w:rPr/>
        <w:t>Wherefore, the Enron Interstate Pipelines respectfully requests that the Commission take action consistent with the above comments.</w:t>
      </w:r>
    </w:p>
    <w:p>
      <w:pPr>
        <w:pStyle w:val="Normal"/>
        <w:spacing w:lineRule="exact" w:line="240"/>
        <w:ind w:start="3150" w:end="0"/>
        <w:rPr>
          <w:b/>
          <w:bCs/>
          <w:sz w:val="24"/>
          <w:szCs w:val="24"/>
        </w:rPr>
      </w:pPr>
      <w:r>
        <w:rPr>
          <w:b/>
          <w:bCs/>
          <w:sz w:val="24"/>
          <w:szCs w:val="24"/>
        </w:rPr>
      </w:r>
    </w:p>
    <w:p>
      <w:pPr>
        <w:pStyle w:val="Normal"/>
        <w:tabs>
          <w:tab w:val="clear" w:pos="720"/>
          <w:tab w:val="left" w:pos="-720" w:leader="none"/>
          <w:tab w:val="left" w:pos="324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t>Respectfully submitted,</w:t>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t>_____________________________________</w:t>
      </w:r>
    </w:p>
    <w:p>
      <w:pPr>
        <w:pStyle w:val="Normal"/>
        <w:tabs>
          <w:tab w:val="clear" w:pos="720"/>
          <w:tab w:val="left" w:pos="3240" w:leader="none"/>
        </w:tabs>
        <w:ind w:start="3240" w:end="0"/>
        <w:rPr>
          <w:sz w:val="24"/>
          <w:szCs w:val="24"/>
        </w:rPr>
      </w:pPr>
      <w:r>
        <w:rPr>
          <w:sz w:val="24"/>
          <w:szCs w:val="24"/>
        </w:rPr>
        <w:t>Joseph R. Hartsoe</w:t>
      </w:r>
    </w:p>
    <w:p>
      <w:pPr>
        <w:pStyle w:val="Normal"/>
        <w:tabs>
          <w:tab w:val="clear" w:pos="720"/>
          <w:tab w:val="left" w:pos="3240" w:leader="none"/>
        </w:tabs>
        <w:ind w:start="3240" w:end="0"/>
        <w:rPr>
          <w:sz w:val="24"/>
          <w:szCs w:val="24"/>
        </w:rPr>
      </w:pPr>
      <w:r>
        <w:rPr>
          <w:sz w:val="24"/>
          <w:szCs w:val="24"/>
        </w:rPr>
        <w:t>Vice President, Regulatory and Legislative Affairs</w:t>
      </w:r>
    </w:p>
    <w:p>
      <w:pPr>
        <w:pStyle w:val="Normal"/>
        <w:tabs>
          <w:tab w:val="clear" w:pos="720"/>
          <w:tab w:val="left" w:pos="3240" w:leader="none"/>
        </w:tabs>
        <w:ind w:start="3240" w:end="0"/>
        <w:rPr>
          <w:sz w:val="24"/>
          <w:szCs w:val="24"/>
        </w:rPr>
      </w:pPr>
      <w:r>
        <w:rPr>
          <w:sz w:val="24"/>
          <w:szCs w:val="24"/>
        </w:rPr>
        <w:t>Enron Transportation Services Company</w:t>
      </w:r>
    </w:p>
    <w:p>
      <w:pPr>
        <w:pStyle w:val="Normal"/>
        <w:tabs>
          <w:tab w:val="clear" w:pos="720"/>
          <w:tab w:val="left" w:pos="3240" w:leader="none"/>
        </w:tabs>
        <w:ind w:start="3240" w:end="0"/>
        <w:rPr>
          <w:sz w:val="24"/>
          <w:szCs w:val="24"/>
        </w:rPr>
      </w:pPr>
      <w:r>
        <w:rPr>
          <w:sz w:val="24"/>
          <w:szCs w:val="24"/>
        </w:rPr>
        <w:t>4633 Lescot Place</w:t>
      </w:r>
    </w:p>
    <w:p>
      <w:pPr>
        <w:pStyle w:val="Normal"/>
        <w:tabs>
          <w:tab w:val="clear" w:pos="720"/>
          <w:tab w:val="left" w:pos="3240" w:leader="none"/>
        </w:tabs>
        <w:ind w:start="3240" w:end="0"/>
        <w:rPr>
          <w:sz w:val="24"/>
          <w:szCs w:val="24"/>
        </w:rPr>
      </w:pPr>
      <w:r>
        <w:rPr>
          <w:sz w:val="24"/>
          <w:szCs w:val="24"/>
        </w:rPr>
        <w:t>Annandale, VA  22003</w:t>
      </w:r>
    </w:p>
    <w:p>
      <w:pPr>
        <w:pStyle w:val="Normal"/>
        <w:tabs>
          <w:tab w:val="clear" w:pos="720"/>
          <w:tab w:val="left" w:pos="3240" w:leader="none"/>
        </w:tabs>
        <w:ind w:start="3240" w:end="0"/>
        <w:rPr>
          <w:sz w:val="24"/>
          <w:szCs w:val="24"/>
        </w:rPr>
      </w:pPr>
      <w:r>
        <w:rPr>
          <w:sz w:val="24"/>
          <w:szCs w:val="24"/>
        </w:rPr>
        <w:t>Phone:  (202) 216-5913</w:t>
      </w:r>
    </w:p>
    <w:p>
      <w:pPr>
        <w:pStyle w:val="Normal"/>
        <w:tabs>
          <w:tab w:val="clear" w:pos="720"/>
          <w:tab w:val="left" w:pos="3240" w:leader="none"/>
        </w:tabs>
        <w:ind w:start="3240" w:end="0"/>
        <w:rPr>
          <w:sz w:val="24"/>
          <w:szCs w:val="24"/>
        </w:rPr>
      </w:pPr>
      <w:r>
        <w:rPr>
          <w:sz w:val="24"/>
          <w:szCs w:val="24"/>
        </w:rPr>
        <w:t xml:space="preserve">Email: </w:t>
      </w:r>
      <w:r>
        <w:rPr>
          <w:rStyle w:val="Hyperlink"/>
          <w:sz w:val="24"/>
          <w:szCs w:val="24"/>
        </w:rPr>
        <w:t>joe.hartsoe@enron.com</w:t>
      </w:r>
    </w:p>
    <w:p>
      <w:pPr>
        <w:pStyle w:val="Normal"/>
        <w:tabs>
          <w:tab w:val="clear" w:pos="720"/>
          <w:tab w:val="left" w:pos="3240" w:leader="none"/>
        </w:tabs>
        <w:ind w:start="3240" w:end="0"/>
        <w:rPr>
          <w:sz w:val="24"/>
          <w:szCs w:val="24"/>
        </w:rPr>
      </w:pPr>
      <w:r>
        <w:rPr>
          <w:sz w:val="24"/>
          <w:szCs w:val="24"/>
        </w:rPr>
      </w:r>
    </w:p>
    <w:p>
      <w:pPr>
        <w:pStyle w:val="Normal"/>
        <w:tabs>
          <w:tab w:val="clear" w:pos="720"/>
          <w:tab w:val="left" w:pos="3240" w:leader="none"/>
        </w:tabs>
        <w:ind w:start="3240" w:end="0"/>
        <w:rPr>
          <w:sz w:val="24"/>
          <w:szCs w:val="24"/>
        </w:rPr>
      </w:pPr>
      <w:r>
        <w:rPr>
          <w:sz w:val="24"/>
          <w:szCs w:val="24"/>
        </w:rPr>
        <w:t>For the Enron Interstate Pipelines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Dated this 1st day of February, 2002.</w:t>
      </w:r>
    </w:p>
    <w:p>
      <w:pPr>
        <w:pStyle w:val="Normal"/>
        <w:suppressAutoHyphens w:val="true"/>
        <w:jc w:val="both"/>
        <w:rPr>
          <w:spacing w:val="-3"/>
          <w:sz w:val="24"/>
          <w:szCs w:val="24"/>
        </w:rPr>
      </w:pPr>
      <w:r>
        <w:rPr>
          <w:spacing w:val="-3"/>
          <w:sz w:val="24"/>
          <w:szCs w:val="24"/>
        </w:rPr>
      </w:r>
    </w:p>
    <w:sectPr>
      <w:footerReference w:type="default" r:id="rId2"/>
      <w:footerReference w:type="first" r:id="rId3"/>
      <w:footnotePr>
        <w:numFmt w:val="decimal"/>
      </w:footnotePr>
      <w:type w:val="nextPage"/>
      <w:pgSz w:w="12240" w:h="15840"/>
      <w:pgMar w:left="1440" w:right="1440" w:gutter="0" w:header="0" w:top="1440" w:footer="720" w:bottom="135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Helvetica">
    <w:altName w:val="Arial"/>
    <w:charset w:val="01"/>
    <w:family w:val="swiss"/>
    <w:pitch w:val="variable"/>
  </w:font>
  <w:font w:name="Galliard">
    <w:altName w:val="Goudy Old Styl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RM96-1-020  1.23.02 Draft</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t>RM96-1-020 v 1.5 Final Draft 1.28.02</w:t>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w:t>
    </w:r>
    <w:r>
      <w:rPr>
        <w:rStyle w:val="PageNumber"/>
        <w:sz w:val="16"/>
        <w:szCs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Enron Interstate Pipelines are comprised of Transwestern Pipeline Company and Florida Gas Transmission Company.  Transwestern and Florida Gas own and operate pipeline systems and perform natural gas transportation services on behalf of numerous customers, and are each interstate pipelines subject to the jurisdiction of the Commission under the Natural Gas Act.</w:t>
      </w:r>
    </w:p>
  </w:footnote>
  <w:footnote w:id="3">
    <w:p>
      <w:pPr>
        <w:pStyle w:val="FootnoteText"/>
        <w:rPr/>
      </w:pPr>
      <w:r>
        <w:rPr>
          <w:rStyle w:val="FootnoteCharacters"/>
        </w:rPr>
        <w:footnoteRef/>
      </w:r>
      <w:r>
        <w:rPr/>
        <w:t xml:space="preserve"> </w:t>
      </w:r>
      <w:r>
        <w:rPr>
          <w:color w:val="0000FF"/>
        </w:rPr>
        <w:t>Standards for Business Practices of Interstate Natural Gas Pipelines, 97 FERC ¶ 61,316 (2001) (Notice of Proposed Rulemaking).</w:t>
      </w:r>
    </w:p>
  </w:footnote>
  <w:footnote w:id="4">
    <w:p>
      <w:pPr>
        <w:pStyle w:val="FootnoteText"/>
        <w:rPr/>
      </w:pPr>
      <w:r>
        <w:rPr>
          <w:rStyle w:val="FootnoteCharacters"/>
        </w:rPr>
        <w:footnoteRef/>
      </w:r>
      <w:r>
        <w:rPr/>
        <w:t xml:space="preserve"> “</w:t>
      </w:r>
      <w:r>
        <w:rPr/>
        <w:t xml:space="preserve">Order No. 587, 61 FR at 39057 (Jul. 26, 1996), FERC Stats. &amp; Regs. Regulations Preambles [July 1996-December 2000] ¶ 31,038, at 30,059 (resolving dispute over bumping of interruptible service by firm service),” p. 13.  </w:t>
      </w:r>
      <w:r>
        <w:rPr>
          <w:i/>
          <w:iCs/>
          <w:color w:val="FF0000"/>
        </w:rPr>
        <w:t>[cite both footnote and original order]</w:t>
      </w:r>
      <w:r>
        <w:rPr/>
        <w:t>,</w:t>
      </w:r>
    </w:p>
  </w:footnote>
  <w:footnote w:id="5">
    <w:p>
      <w:pPr>
        <w:pStyle w:val="FootnoteText"/>
        <w:rPr/>
      </w:pPr>
      <w:r>
        <w:rPr>
          <w:rStyle w:val="FootnoteCharacters"/>
        </w:rPr>
        <w:footnoteRef/>
      </w:r>
      <w:r>
        <w:rPr/>
        <w:t xml:space="preserve"> </w:t>
      </w:r>
      <w:r>
        <w:rPr/>
        <w:t>Ibid</w:t>
      </w:r>
    </w:p>
  </w:footnote>
  <w:footnote w:id="6">
    <w:p>
      <w:pPr>
        <w:pStyle w:val="FootnoteText"/>
        <w:rPr/>
      </w:pPr>
      <w:r>
        <w:rPr>
          <w:rStyle w:val="FootnoteCharacters"/>
        </w:rPr>
        <w:footnoteRef/>
      </w:r>
      <w:r>
        <w:rPr/>
        <w:t xml:space="preserve"> </w:t>
      </w:r>
      <w:r>
        <w:rPr/>
        <w:t>NOPR, paragraph 7</w:t>
      </w:r>
    </w:p>
  </w:footnote>
  <w:footnote w:id="7">
    <w:p>
      <w:pPr>
        <w:pStyle w:val="FootnoteText"/>
        <w:rPr/>
      </w:pPr>
      <w:r>
        <w:rPr>
          <w:rStyle w:val="FootnoteCharacters"/>
        </w:rPr>
        <w:footnoteRef/>
      </w:r>
      <w:r>
        <w:rPr/>
        <w:t xml:space="preserve"> </w:t>
      </w:r>
      <w:r>
        <w:rPr/>
        <w:t>Order 587 as cited above, p. 15-16 – note, the page numbers from Order 587 are based on my printout.  I assume the cite will be corrected for the final draft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suppressAutoHyphens w:val="true"/>
      <w:jc w:val="center"/>
      <w:outlineLvl w:val="1"/>
    </w:pPr>
    <w:rPr>
      <w:spacing w:val="-3"/>
      <w:sz w:val="24"/>
      <w:szCs w:val="24"/>
      <w:u w:val="single"/>
    </w:rPr>
  </w:style>
  <w:style w:type="paragraph" w:styleId="Heading9">
    <w:name w:val="heading 9"/>
    <w:basedOn w:val="Normal"/>
    <w:next w:val="Normal"/>
    <w:qFormat/>
    <w:pPr>
      <w:keepNext w:val="true"/>
      <w:numPr>
        <w:ilvl w:val="8"/>
        <w:numId w:val="1"/>
      </w:numPr>
      <w:spacing w:lineRule="exact" w:line="240"/>
      <w:ind w:firstLine="270" w:start="2880" w:end="0"/>
      <w:outlineLvl w:val="8"/>
    </w:pPr>
    <w:rPr>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Document2">
    <w:name w:val="Document 2"/>
    <w:basedOn w:val="DefaultParagraphFont"/>
    <w:qFormat/>
    <w:rPr>
      <w:rFonts w:ascii="Courier New" w:hAnsi="Courier New" w:eastAsia="Courier New" w:cs="Courier New"/>
      <w:sz w:val="24"/>
      <w:szCs w:val="24"/>
      <w:lang w:val="en-US"/>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qForma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spacing w:lineRule="atLeast" w:line="316" w:before="200" w:after="100"/>
      <w:ind w:hanging="720" w:start="720" w:end="0"/>
      <w:jc w:val="both"/>
    </w:pPr>
    <w:rPr>
      <w:rFonts w:ascii="Helvetica" w:hAnsi="Helvetica" w:eastAsia="Helvetica" w:cs="Helvetica"/>
      <w:sz w:val="20"/>
      <w:szCs w:val="20"/>
      <w:lang w:val="en-CA"/>
    </w:rPr>
  </w:style>
  <w:style w:type="paragraph" w:styleId="BodyText2">
    <w:name w:val="Body Text 2"/>
    <w:basedOn w:val="Normal"/>
    <w:qFormat/>
    <w:pPr>
      <w:spacing w:lineRule="auto" w:line="480"/>
    </w:pPr>
    <w:rPr>
      <w:sz w:val="24"/>
      <w:szCs w:val="24"/>
    </w:rPr>
  </w:style>
  <w:style w:type="paragraph" w:styleId="WW-BodyText2">
    <w:name w:val="WW-Body Text 2"/>
    <w:basedOn w:val="Normal"/>
    <w:qFormat/>
    <w:pPr>
      <w:spacing w:lineRule="auto" w:line="480"/>
      <w:ind w:firstLine="720" w:start="0" w:end="0"/>
    </w:pPr>
    <w:rPr>
      <w:sz w:val="24"/>
      <w:szCs w:val="24"/>
    </w:rPr>
  </w:style>
  <w:style w:type="paragraph" w:styleId="FootnoteText">
    <w:name w:val="footnote text"/>
    <w:basedOn w:val="Normal"/>
    <w:pPr/>
    <w:rPr>
      <w:sz w:val="20"/>
      <w:szCs w:val="20"/>
    </w:rPr>
  </w:style>
  <w:style w:type="paragraph" w:styleId="WW-BodyText21">
    <w:name w:val="WW-Body Text 21"/>
    <w:basedOn w:val="Normal"/>
    <w:qFormat/>
    <w:pPr>
      <w:spacing w:lineRule="auto" w:line="480"/>
      <w:ind w:firstLine="360" w:start="0" w:end="0"/>
    </w:pPr>
    <w:rPr/>
  </w:style>
  <w:style w:type="paragraph" w:styleId="BodyTextStyle">
    <w:name w:val="Body Text Style"/>
    <w:basedOn w:val="Normal"/>
    <w:qFormat/>
    <w:pPr>
      <w:spacing w:lineRule="auto" w:line="480"/>
      <w:ind w:firstLine="720" w:start="0" w:end="0"/>
      <w:jc w:val="both"/>
    </w:pPr>
    <w:rPr>
      <w:rFonts w:ascii="Galliard;Goudy Old Style" w:hAnsi="Galliard;Goudy Old Style" w:eastAsia="Galliard;Goudy Old Style" w:cs="Galliard;Goudy Old Style"/>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2002-01-30T15:57:00Z</dcterms:created>
  <dc:creator>Jan Butler</dc:creator>
  <dc:description/>
  <dc:language>en-CA</dc:language>
  <cp:lastModifiedBy>thess</cp:lastModifiedBy>
  <cp:lastPrinted>2002-01-30T15:01:00Z</cp:lastPrinted>
  <dcterms:modified xsi:type="dcterms:W3CDTF">2002-01-30T18:41:00Z</dcterms:modified>
  <cp:revision>13</cp:revision>
  <dc:subject/>
  <dc:title>Electronic Filing</dc:title>
</cp:coreProperties>
</file>