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6120" w:leader="none"/>
          <w:tab w:val="right" w:pos="9360" w:leader="none"/>
        </w:tabs>
        <w:rPr>
          <w:sz w:val="24"/>
        </w:rPr>
      </w:pPr>
      <w:r>
        <w:rPr>
          <w:sz w:val="24"/>
        </w:rPr>
        <w:drawing>
          <wp:inline distT="0" distB="0" distL="0" distR="0">
            <wp:extent cx="72580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25805" cy="703580"/>
                    </a:xfrm>
                    <a:prstGeom prst="rect">
                      <a:avLst/>
                    </a:prstGeom>
                    <a:noFill/>
                  </pic:spPr>
                </pic:pic>
              </a:graphicData>
            </a:graphic>
          </wp:inline>
        </w:drawing>
      </w:r>
    </w:p>
    <w:p>
      <w:pPr>
        <w:pStyle w:val="Heading"/>
        <w:rPr>
          <w:sz w:val="24"/>
        </w:rPr>
      </w:pPr>
      <w:r>
        <w:rPr>
          <w:sz w:val="24"/>
        </w:rPr>
      </w:r>
    </w:p>
    <w:p>
      <w:pPr>
        <w:pStyle w:val="Normal"/>
        <w:rPr>
          <w:sz w:val="24"/>
        </w:rPr>
      </w:pPr>
      <w:r>
        <w:rPr>
          <w:b/>
          <w:i/>
          <w:sz w:val="24"/>
        </w:rPr>
        <w:t>Natural Gas, Electricity and Endless Possibilities</w:t>
      </w:r>
    </w:p>
    <w:p>
      <w:pPr>
        <w:pStyle w:val="Normal"/>
        <w:rPr>
          <w:b/>
          <w:sz w:val="24"/>
        </w:rPr>
      </w:pPr>
      <w:r>
        <w:rPr>
          <w:b/>
          <w:sz w:val="24"/>
        </w:rPr>
        <w:t>ENRON TRANSPORTATION SERVICES</w:t>
      </w:r>
    </w:p>
    <w:p>
      <w:pPr>
        <w:pStyle w:val="Normal"/>
        <w:rPr>
          <w:b/>
          <w:sz w:val="24"/>
        </w:rPr>
      </w:pPr>
      <w:r>
        <w:rPr>
          <w:b/>
          <w:sz w:val="24"/>
        </w:rPr>
      </w:r>
    </w:p>
    <w:p>
      <w:pPr>
        <w:pStyle w:val="Normal"/>
        <w:jc w:val="center"/>
        <w:rPr>
          <w:b/>
          <w:sz w:val="24"/>
        </w:rPr>
      </w:pPr>
      <w:r>
        <w:rPr>
          <w:b/>
          <w:sz w:val="24"/>
        </w:rPr>
      </w:r>
    </w:p>
    <w:tbl>
      <w:tblPr>
        <w:tblW w:w="9630" w:type="dxa"/>
        <w:jc w:val="start"/>
        <w:tblInd w:w="108" w:type="dxa"/>
        <w:tblLayout w:type="fixed"/>
        <w:tblCellMar>
          <w:top w:w="0" w:type="dxa"/>
          <w:start w:w="108" w:type="dxa"/>
          <w:bottom w:w="0" w:type="dxa"/>
          <w:end w:w="108" w:type="dxa"/>
        </w:tblCellMar>
      </w:tblPr>
      <w:tblGrid>
        <w:gridCol w:w="1440"/>
        <w:gridCol w:w="4050"/>
        <w:gridCol w:w="1232"/>
        <w:gridCol w:w="307"/>
        <w:gridCol w:w="514"/>
        <w:gridCol w:w="2087"/>
      </w:tblGrid>
      <w:tr>
        <w:trPr>
          <w:trHeight w:val="320" w:hRule="atLeast"/>
        </w:trPr>
        <w:tc>
          <w:tcPr>
            <w:tcW w:w="1440" w:type="dxa"/>
            <w:tcBorders/>
          </w:tcPr>
          <w:p>
            <w:pPr>
              <w:pStyle w:val="Normal"/>
              <w:ind w:start="-108" w:end="0"/>
              <w:rPr>
                <w:rFonts w:ascii="Antique Olv (W1)" w:hAnsi="Antique Olv (W1)" w:cs="Antique Olv (W1)"/>
                <w:b/>
                <w:sz w:val="24"/>
              </w:rPr>
            </w:pPr>
            <w:r>
              <w:rPr>
                <w:rFonts w:cs="Antique Olv (W1)" w:ascii="Antique Olv (W1)" w:hAnsi="Antique Olv (W1)"/>
                <w:b/>
                <w:sz w:val="24"/>
              </w:rPr>
              <w:t>To:</w:t>
            </w:r>
          </w:p>
        </w:tc>
        <w:tc>
          <w:tcPr>
            <w:tcW w:w="4050" w:type="dxa"/>
            <w:tcBorders/>
          </w:tcPr>
          <w:p>
            <w:pPr>
              <w:pStyle w:val="To"/>
              <w:rPr>
                <w:rFonts w:ascii="Times New Roman" w:hAnsi="Times New Roman" w:cs="Times New Roman"/>
                <w:sz w:val="24"/>
              </w:rPr>
            </w:pPr>
            <w:r>
              <w:rPr>
                <w:rFonts w:cs="Times New Roman" w:ascii="Times New Roman" w:hAnsi="Times New Roman"/>
                <w:sz w:val="24"/>
              </w:rPr>
              <w:t>Distribution</w:t>
            </w:r>
          </w:p>
        </w:tc>
        <w:tc>
          <w:tcPr>
            <w:tcW w:w="2053" w:type="dxa"/>
            <w:gridSpan w:val="3"/>
            <w:tcBorders/>
          </w:tcPr>
          <w:p>
            <w:pPr>
              <w:pStyle w:val="Normal"/>
              <w:snapToGrid w:val="false"/>
              <w:ind w:start="72" w:end="0"/>
              <w:rPr>
                <w:rFonts w:ascii="Times New Roman" w:hAnsi="Times New Roman" w:cs="Times New Roman"/>
                <w:sz w:val="24"/>
              </w:rPr>
            </w:pPr>
            <w:r>
              <w:rPr>
                <w:rFonts w:cs="Times New Roman"/>
                <w:sz w:val="24"/>
              </w:rPr>
            </w:r>
          </w:p>
        </w:tc>
        <w:tc>
          <w:tcPr>
            <w:tcW w:w="2087" w:type="dxa"/>
            <w:tcBorders/>
          </w:tcPr>
          <w:p>
            <w:pPr>
              <w:pStyle w:val="Normal"/>
              <w:snapToGrid w:val="false"/>
              <w:rPr>
                <w:rFonts w:ascii="Antique Olv (W1)" w:hAnsi="Antique Olv (W1)" w:cs="Antique Olv (W1)"/>
                <w:b/>
                <w:sz w:val="24"/>
              </w:rPr>
            </w:pPr>
            <w:r>
              <w:rPr>
                <w:rFonts w:cs="Antique Olv (W1)" w:ascii="Antique Olv (W1)" w:hAnsi="Antique Olv (W1)"/>
                <w:b/>
                <w:sz w:val="24"/>
              </w:rPr>
            </w:r>
          </w:p>
        </w:tc>
      </w:tr>
      <w:tr>
        <w:trPr>
          <w:trHeight w:val="269" w:hRule="exact"/>
        </w:trPr>
        <w:tc>
          <w:tcPr>
            <w:tcW w:w="1440" w:type="dxa"/>
            <w:tcBorders/>
          </w:tcPr>
          <w:p>
            <w:pPr>
              <w:pStyle w:val="Normal"/>
              <w:snapToGrid w:val="false"/>
              <w:ind w:start="-108" w:end="0"/>
              <w:rPr>
                <w:rFonts w:ascii="Antique Olv (W1)" w:hAnsi="Antique Olv (W1)" w:cs="Antique Olv (W1)"/>
                <w:b/>
                <w:sz w:val="24"/>
              </w:rPr>
            </w:pPr>
            <w:r>
              <w:rPr>
                <w:rFonts w:cs="Antique Olv (W1)" w:ascii="Antique Olv (W1)" w:hAnsi="Antique Olv (W1)"/>
                <w:b/>
                <w:sz w:val="24"/>
              </w:rPr>
            </w:r>
          </w:p>
        </w:tc>
        <w:tc>
          <w:tcPr>
            <w:tcW w:w="4050" w:type="dxa"/>
            <w:tcBorders/>
          </w:tcPr>
          <w:p>
            <w:pPr>
              <w:pStyle w:val="Normal"/>
              <w:snapToGrid w:val="false"/>
              <w:rPr>
                <w:rFonts w:ascii="Antique Olv (W1)" w:hAnsi="Antique Olv (W1)" w:cs="Antique Olv (W1)"/>
                <w:b/>
                <w:sz w:val="24"/>
              </w:rPr>
            </w:pPr>
            <w:r>
              <w:rPr>
                <w:rFonts w:cs="Antique Olv (W1)" w:ascii="Antique Olv (W1)" w:hAnsi="Antique Olv (W1)"/>
                <w:b/>
                <w:sz w:val="24"/>
              </w:rPr>
            </w:r>
          </w:p>
        </w:tc>
        <w:tc>
          <w:tcPr>
            <w:tcW w:w="2053" w:type="dxa"/>
            <w:gridSpan w:val="3"/>
            <w:tcBorders/>
          </w:tcPr>
          <w:p>
            <w:pPr>
              <w:pStyle w:val="Normal"/>
              <w:snapToGrid w:val="false"/>
              <w:ind w:start="-180" w:end="0"/>
              <w:rPr>
                <w:rFonts w:ascii="Antique Olv (W1)" w:hAnsi="Antique Olv (W1)" w:cs="Antique Olv (W1)"/>
                <w:b/>
                <w:sz w:val="24"/>
              </w:rPr>
            </w:pPr>
            <w:r>
              <w:rPr>
                <w:rFonts w:cs="Antique Olv (W1)" w:ascii="Antique Olv (W1)" w:hAnsi="Antique Olv (W1)"/>
                <w:b/>
                <w:sz w:val="24"/>
              </w:rPr>
            </w:r>
          </w:p>
        </w:tc>
        <w:tc>
          <w:tcPr>
            <w:tcW w:w="2087" w:type="dxa"/>
            <w:tcBorders/>
          </w:tcPr>
          <w:p>
            <w:pPr>
              <w:pStyle w:val="Normal"/>
              <w:snapToGrid w:val="false"/>
              <w:rPr>
                <w:rFonts w:ascii="Antique Olv (W1)" w:hAnsi="Antique Olv (W1)" w:cs="Antique Olv (W1)"/>
                <w:b/>
                <w:sz w:val="24"/>
              </w:rPr>
            </w:pPr>
            <w:r>
              <w:rPr>
                <w:rFonts w:cs="Antique Olv (W1)" w:ascii="Antique Olv (W1)" w:hAnsi="Antique Olv (W1)"/>
                <w:b/>
                <w:sz w:val="24"/>
              </w:rPr>
            </w:r>
          </w:p>
        </w:tc>
      </w:tr>
      <w:tr>
        <w:trPr>
          <w:trHeight w:val="300" w:hRule="exact"/>
        </w:trPr>
        <w:tc>
          <w:tcPr>
            <w:tcW w:w="1440" w:type="dxa"/>
            <w:tcBorders/>
          </w:tcPr>
          <w:p>
            <w:pPr>
              <w:pStyle w:val="Normal"/>
              <w:ind w:start="-108" w:end="0"/>
              <w:rPr>
                <w:rFonts w:ascii="Antique Olv (W1)" w:hAnsi="Antique Olv (W1)" w:cs="Antique Olv (W1)"/>
                <w:b/>
                <w:sz w:val="24"/>
              </w:rPr>
            </w:pPr>
            <w:r>
              <w:rPr>
                <w:rFonts w:cs="Antique Olv (W1)" w:ascii="Antique Olv (W1)" w:hAnsi="Antique Olv (W1)"/>
                <w:b/>
                <w:sz w:val="24"/>
              </w:rPr>
              <w:t>From:</w:t>
            </w:r>
          </w:p>
        </w:tc>
        <w:tc>
          <w:tcPr>
            <w:tcW w:w="4050" w:type="dxa"/>
            <w:tcBorders/>
          </w:tcPr>
          <w:p>
            <w:pPr>
              <w:pStyle w:val="From"/>
              <w:rPr>
                <w:rFonts w:ascii="Times New Roman" w:hAnsi="Times New Roman" w:cs="Times New Roman"/>
                <w:sz w:val="24"/>
              </w:rPr>
            </w:pPr>
            <w:r>
              <w:rPr>
                <w:rFonts w:cs="Times New Roman" w:ascii="Times New Roman" w:hAnsi="Times New Roman"/>
                <w:sz w:val="24"/>
              </w:rPr>
              <w:t>Jan Butler</w:t>
            </w:r>
          </w:p>
        </w:tc>
        <w:tc>
          <w:tcPr>
            <w:tcW w:w="1539" w:type="dxa"/>
            <w:gridSpan w:val="2"/>
            <w:tcBorders/>
          </w:tcPr>
          <w:p>
            <w:pPr>
              <w:pStyle w:val="Normal"/>
              <w:snapToGrid w:val="false"/>
              <w:ind w:start="-180" w:end="0"/>
              <w:jc w:val="end"/>
              <w:rPr>
                <w:rFonts w:ascii="Antique Olv (W1)" w:hAnsi="Antique Olv (W1)" w:cs="Antique Olv (W1)"/>
                <w:b/>
                <w:sz w:val="24"/>
              </w:rPr>
            </w:pPr>
            <w:r>
              <w:rPr>
                <w:rFonts w:cs="Antique Olv (W1)" w:ascii="Antique Olv (W1)" w:hAnsi="Antique Olv (W1)"/>
                <w:b/>
                <w:sz w:val="24"/>
              </w:rPr>
            </w:r>
          </w:p>
        </w:tc>
        <w:tc>
          <w:tcPr>
            <w:tcW w:w="2601" w:type="dxa"/>
            <w:gridSpan w:val="2"/>
            <w:tcBorders/>
          </w:tcPr>
          <w:p>
            <w:pPr>
              <w:pStyle w:val="Department"/>
              <w:snapToGrid w:val="false"/>
              <w:rPr>
                <w:rFonts w:ascii="Times New Roman" w:hAnsi="Times New Roman" w:cs="Times New Roman"/>
                <w:b/>
                <w:sz w:val="24"/>
              </w:rPr>
            </w:pPr>
            <w:r>
              <w:rPr>
                <w:rFonts w:cs="Times New Roman" w:ascii="Times New Roman" w:hAnsi="Times New Roman"/>
                <w:b/>
                <w:sz w:val="24"/>
              </w:rPr>
            </w:r>
            <w:bookmarkStart w:id="0" w:name="From"/>
            <w:bookmarkStart w:id="1" w:name="From"/>
            <w:bookmarkEnd w:id="1"/>
          </w:p>
        </w:tc>
      </w:tr>
      <w:tr>
        <w:trPr>
          <w:trHeight w:val="216" w:hRule="exact"/>
        </w:trPr>
        <w:tc>
          <w:tcPr>
            <w:tcW w:w="1440" w:type="dxa"/>
            <w:tcBorders/>
          </w:tcPr>
          <w:p>
            <w:pPr>
              <w:pStyle w:val="Normal"/>
              <w:snapToGrid w:val="false"/>
              <w:ind w:start="-108" w:end="0"/>
              <w:rPr>
                <w:rFonts w:ascii="Antique Olv (W1)" w:hAnsi="Antique Olv (W1)" w:cs="Antique Olv (W1)"/>
                <w:b/>
                <w:sz w:val="24"/>
              </w:rPr>
            </w:pPr>
            <w:r>
              <w:rPr>
                <w:rFonts w:cs="Antique Olv (W1)" w:ascii="Antique Olv (W1)" w:hAnsi="Antique Olv (W1)"/>
                <w:b/>
                <w:sz w:val="24"/>
              </w:rPr>
            </w:r>
          </w:p>
        </w:tc>
        <w:tc>
          <w:tcPr>
            <w:tcW w:w="4050" w:type="dxa"/>
            <w:tcBorders/>
          </w:tcPr>
          <w:p>
            <w:pPr>
              <w:pStyle w:val="Normal"/>
              <w:snapToGrid w:val="false"/>
              <w:rPr>
                <w:rFonts w:ascii="Antique Olv (W1)" w:hAnsi="Antique Olv (W1)" w:cs="Antique Olv (W1)"/>
                <w:b/>
                <w:sz w:val="24"/>
              </w:rPr>
            </w:pPr>
            <w:r>
              <w:rPr>
                <w:rFonts w:cs="Antique Olv (W1)" w:ascii="Antique Olv (W1)" w:hAnsi="Antique Olv (W1)"/>
                <w:b/>
                <w:sz w:val="24"/>
              </w:rPr>
            </w:r>
          </w:p>
        </w:tc>
        <w:tc>
          <w:tcPr>
            <w:tcW w:w="2053" w:type="dxa"/>
            <w:gridSpan w:val="3"/>
            <w:tcBorders/>
          </w:tcPr>
          <w:p>
            <w:pPr>
              <w:pStyle w:val="Normal"/>
              <w:tabs>
                <w:tab w:val="clear" w:pos="720"/>
                <w:tab w:val="left" w:pos="-108" w:leader="none"/>
              </w:tabs>
              <w:snapToGrid w:val="false"/>
              <w:ind w:start="-180" w:end="0"/>
              <w:rPr>
                <w:rFonts w:ascii="Antique Olv (W1)" w:hAnsi="Antique Olv (W1)" w:cs="Antique Olv (W1)"/>
                <w:b/>
                <w:sz w:val="24"/>
              </w:rPr>
            </w:pPr>
            <w:r>
              <w:rPr>
                <w:rFonts w:cs="Antique Olv (W1)" w:ascii="Antique Olv (W1)" w:hAnsi="Antique Olv (W1)"/>
                <w:b/>
                <w:sz w:val="24"/>
              </w:rPr>
            </w:r>
          </w:p>
        </w:tc>
        <w:tc>
          <w:tcPr>
            <w:tcW w:w="2087" w:type="dxa"/>
            <w:tcBorders/>
          </w:tcPr>
          <w:p>
            <w:pPr>
              <w:pStyle w:val="Normal"/>
              <w:snapToGrid w:val="false"/>
              <w:rPr>
                <w:rFonts w:ascii="Antique Olv (W1)" w:hAnsi="Antique Olv (W1)" w:cs="Antique Olv (W1)"/>
                <w:b/>
                <w:sz w:val="24"/>
              </w:rPr>
            </w:pPr>
            <w:r>
              <w:rPr>
                <w:rFonts w:cs="Antique Olv (W1)" w:ascii="Antique Olv (W1)" w:hAnsi="Antique Olv (W1)"/>
                <w:b/>
                <w:sz w:val="24"/>
              </w:rPr>
            </w:r>
          </w:p>
        </w:tc>
      </w:tr>
      <w:tr>
        <w:trPr>
          <w:trHeight w:val="1296" w:hRule="exact"/>
        </w:trPr>
        <w:tc>
          <w:tcPr>
            <w:tcW w:w="1440" w:type="dxa"/>
            <w:tcBorders/>
          </w:tcPr>
          <w:p>
            <w:pPr>
              <w:pStyle w:val="Normal"/>
              <w:ind w:start="-108" w:end="0"/>
              <w:rPr>
                <w:rFonts w:ascii="Antique Olv (W1)" w:hAnsi="Antique Olv (W1)" w:cs="Antique Olv (W1)"/>
                <w:b/>
                <w:sz w:val="24"/>
              </w:rPr>
            </w:pPr>
            <w:r>
              <w:rPr>
                <w:rFonts w:cs="Antique Olv (W1)" w:ascii="Antique Olv (W1)" w:hAnsi="Antique Olv (W1)"/>
                <w:b/>
                <w:sz w:val="24"/>
              </w:rPr>
              <w:t>Subject:</w:t>
            </w:r>
          </w:p>
        </w:tc>
        <w:tc>
          <w:tcPr>
            <w:tcW w:w="4050" w:type="dxa"/>
            <w:tcBorders/>
          </w:tcPr>
          <w:p>
            <w:pPr>
              <w:pStyle w:val="Subject"/>
              <w:rPr>
                <w:rFonts w:ascii="Times New Roman" w:hAnsi="Times New Roman" w:cs="Times New Roman"/>
                <w:sz w:val="24"/>
              </w:rPr>
            </w:pPr>
            <w:r>
              <w:rPr>
                <w:rFonts w:cs="Times New Roman" w:ascii="Times New Roman" w:hAnsi="Times New Roman"/>
                <w:sz w:val="24"/>
              </w:rPr>
              <w:t>Executive Summary  - NOPR</w:t>
            </w:r>
          </w:p>
          <w:p>
            <w:pPr>
              <w:pStyle w:val="Subject"/>
              <w:rPr>
                <w:rFonts w:ascii="Times New Roman" w:hAnsi="Times New Roman" w:cs="Times New Roman"/>
                <w:sz w:val="24"/>
              </w:rPr>
            </w:pPr>
            <w:r>
              <w:rPr>
                <w:rFonts w:cs="Times New Roman" w:ascii="Times New Roman" w:hAnsi="Times New Roman"/>
                <w:sz w:val="24"/>
              </w:rPr>
              <w:t>Accounting and Reporting of Financial Instruments, Income, Derivatives and Hedging Activities, RM02-3</w:t>
            </w:r>
          </w:p>
        </w:tc>
        <w:tc>
          <w:tcPr>
            <w:tcW w:w="1232" w:type="dxa"/>
            <w:tcBorders/>
          </w:tcPr>
          <w:p>
            <w:pPr>
              <w:pStyle w:val="Normal"/>
              <w:ind w:start="196" w:end="0"/>
              <w:rPr>
                <w:rFonts w:ascii="Antique Olv (W1)" w:hAnsi="Antique Olv (W1)" w:cs="Antique Olv (W1)"/>
                <w:b/>
                <w:sz w:val="24"/>
              </w:rPr>
            </w:pPr>
            <w:r>
              <w:rPr>
                <w:rFonts w:cs="Antique Olv (W1)" w:ascii="Antique Olv (W1)" w:hAnsi="Antique Olv (W1)"/>
                <w:b/>
                <w:sz w:val="24"/>
              </w:rPr>
              <w:t>Date:</w:t>
            </w:r>
          </w:p>
        </w:tc>
        <w:tc>
          <w:tcPr>
            <w:tcW w:w="2908" w:type="dxa"/>
            <w:gridSpan w:val="3"/>
            <w:tcBorders/>
          </w:tcPr>
          <w:p>
            <w:pPr>
              <w:pStyle w:val="Date"/>
              <w:rPr>
                <w:rFonts w:ascii="Times New Roman" w:hAnsi="Times New Roman" w:cs="Times New Roman"/>
                <w:sz w:val="24"/>
              </w:rPr>
            </w:pPr>
            <w:r>
              <w:rPr>
                <w:rFonts w:cs="Times New Roman" w:ascii="Times New Roman" w:hAnsi="Times New Roman"/>
                <w:sz w:val="24"/>
              </w:rPr>
              <w:t>January 14, 2002</w:t>
            </w:r>
          </w:p>
        </w:tc>
      </w:tr>
    </w:tbl>
    <w:p>
      <w:pPr>
        <w:pStyle w:val="Normal"/>
        <w:pBdr>
          <w:bottom w:val="single" w:sz="12" w:space="1" w:color="000000"/>
        </w:pBdr>
        <w:rPr>
          <w:sz w:val="24"/>
        </w:rPr>
      </w:pPr>
      <w:r>
        <w:rPr>
          <w:sz w:val="24"/>
        </w:rPr>
      </w:r>
    </w:p>
    <w:p>
      <w:pPr>
        <w:pStyle w:val="Normal"/>
        <w:rPr>
          <w:sz w:val="24"/>
        </w:rPr>
      </w:pPr>
      <w:r>
        <w:rPr>
          <w:sz w:val="24"/>
        </w:rPr>
      </w:r>
    </w:p>
    <w:p>
      <w:pPr>
        <w:pStyle w:val="Heading1"/>
        <w:ind w:hanging="0" w:start="0"/>
        <w:rPr>
          <w:sz w:val="24"/>
        </w:rPr>
      </w:pPr>
      <w:r>
        <w:rPr>
          <w:sz w:val="24"/>
        </w:rPr>
        <w:t xml:space="preserve">Document:  Notice of Proposed Rulemaking, </w:t>
      </w:r>
      <w:hyperlink r:id="rId3">
        <w:r>
          <w:rPr>
            <w:rStyle w:val="Hyperlink"/>
            <w:sz w:val="24"/>
          </w:rPr>
          <w:t>RM02-3</w:t>
        </w:r>
      </w:hyperlink>
    </w:p>
    <w:p>
      <w:pPr>
        <w:pStyle w:val="Normal"/>
        <w:rPr>
          <w:sz w:val="24"/>
        </w:rPr>
      </w:pPr>
      <w:r>
        <w:rPr>
          <w:sz w:val="24"/>
        </w:rPr>
      </w:r>
    </w:p>
    <w:p>
      <w:pPr>
        <w:pStyle w:val="Heading1"/>
        <w:ind w:hanging="0" w:start="0"/>
        <w:rPr>
          <w:sz w:val="24"/>
        </w:rPr>
      </w:pPr>
      <w:r>
        <w:rPr>
          <w:sz w:val="24"/>
        </w:rPr>
        <w:t>Executive Summary</w:t>
      </w:r>
    </w:p>
    <w:p>
      <w:pPr>
        <w:pStyle w:val="Normal"/>
        <w:rPr/>
      </w:pPr>
      <w:r>
        <w:rPr>
          <w:sz w:val="24"/>
        </w:rPr>
        <w:t xml:space="preserve">FERC issued this NOPR on December 20, 2001. The NOPR was published in the </w:t>
      </w:r>
      <w:r>
        <w:rPr>
          <w:i/>
          <w:iCs/>
          <w:sz w:val="24"/>
        </w:rPr>
        <w:t>Federal Register</w:t>
      </w:r>
      <w:r>
        <w:rPr>
          <w:sz w:val="24"/>
        </w:rPr>
        <w:t xml:space="preserve"> on January 8, 2002 with comments due March 11, 2002. FERC is proposing to revise its regulations to update the accounting and reporting requirements for jurisdictional public utilities, natural gas companies (18 CFR Part 201) and oil pipelines to reflect principles currently used in general purpose financial reporting. More specifically, the changes would establish uniform accounting and reporting requirements for recognition of changes in the fair value of certain security investments, items of comprehensive income, derivative instruments and hedging activities. The proposed rule, however, is not intended to prescribe ratemaking treatment for the affected transactions.  </w:t>
      </w:r>
    </w:p>
    <w:p>
      <w:pPr>
        <w:pStyle w:val="Normal"/>
        <w:rPr>
          <w:sz w:val="24"/>
        </w:rPr>
      </w:pPr>
      <w:r>
        <w:rPr>
          <w:sz w:val="24"/>
        </w:rPr>
      </w:r>
    </w:p>
    <w:p>
      <w:pPr>
        <w:pStyle w:val="Normal"/>
        <w:rPr>
          <w:b/>
          <w:bCs/>
          <w:sz w:val="24"/>
        </w:rPr>
      </w:pPr>
      <w:r>
        <w:rPr>
          <w:b/>
          <w:bCs/>
          <w:sz w:val="24"/>
        </w:rPr>
        <w:t>Annual Reports:</w:t>
      </w:r>
    </w:p>
    <w:p>
      <w:pPr>
        <w:pStyle w:val="Normal"/>
        <w:rPr>
          <w:sz w:val="24"/>
        </w:rPr>
      </w:pPr>
      <w:r>
        <w:rPr>
          <w:sz w:val="24"/>
        </w:rPr>
        <w:t xml:space="preserve">FERC proposes to revise several Annual Reports:  </w:t>
      </w:r>
    </w:p>
    <w:p>
      <w:pPr>
        <w:pStyle w:val="Normal"/>
        <w:ind w:start="720" w:end="0"/>
        <w:rPr>
          <w:sz w:val="24"/>
        </w:rPr>
      </w:pPr>
      <w:r>
        <w:rPr>
          <w:sz w:val="24"/>
        </w:rPr>
        <w:t>Form No. 1 and 1-F (public utilities)</w:t>
      </w:r>
    </w:p>
    <w:p>
      <w:pPr>
        <w:pStyle w:val="Normal"/>
        <w:ind w:start="720" w:end="0"/>
        <w:rPr>
          <w:sz w:val="24"/>
        </w:rPr>
      </w:pPr>
      <w:r>
        <w:rPr>
          <w:sz w:val="24"/>
        </w:rPr>
        <w:t>Form No. 2 (Annual Report of Major Natural Gas Companies) and 2-A (Annual Report of Nonmajor Natural Gas Companies)</w:t>
      </w:r>
    </w:p>
    <w:p>
      <w:pPr>
        <w:pStyle w:val="Normal"/>
        <w:ind w:start="720" w:end="0"/>
        <w:rPr>
          <w:sz w:val="24"/>
        </w:rPr>
      </w:pPr>
      <w:r>
        <w:rPr>
          <w:sz w:val="24"/>
        </w:rPr>
        <w:t>Form No. 6 (oil)</w:t>
      </w:r>
    </w:p>
    <w:p>
      <w:pPr>
        <w:pStyle w:val="Normal"/>
        <w:rPr>
          <w:sz w:val="24"/>
        </w:rPr>
      </w:pPr>
      <w:r>
        <w:rPr>
          <w:sz w:val="24"/>
        </w:rPr>
      </w:r>
    </w:p>
    <w:p>
      <w:pPr>
        <w:pStyle w:val="Normal"/>
        <w:rPr/>
      </w:pPr>
      <w:r>
        <w:rPr>
          <w:b/>
          <w:bCs/>
          <w:sz w:val="24"/>
        </w:rPr>
        <w:t>Exemptions:</w:t>
      </w:r>
      <w:r>
        <w:rPr>
          <w:sz w:val="24"/>
        </w:rPr>
        <w:t xml:space="preserve"> </w:t>
      </w:r>
    </w:p>
    <w:p>
      <w:pPr>
        <w:pStyle w:val="Normal"/>
        <w:rPr/>
      </w:pPr>
      <w:r>
        <w:rPr>
          <w:sz w:val="24"/>
        </w:rPr>
        <w:t>Electric entities with market-based rates have been exempted and not subject to this rule. [</w:t>
      </w:r>
      <w:r>
        <w:rPr>
          <w:i/>
          <w:iCs/>
          <w:sz w:val="24"/>
        </w:rPr>
        <w:t xml:space="preserve">Note: </w:t>
      </w:r>
      <w:r>
        <w:rPr>
          <w:sz w:val="24"/>
        </w:rPr>
        <w:t>FERC is requesting comment on whether these entities should continue with their exempt status or be required to follow the USA]</w:t>
      </w:r>
    </w:p>
    <w:p>
      <w:pPr>
        <w:pStyle w:val="Normal"/>
        <w:rPr>
          <w:sz w:val="24"/>
        </w:rPr>
      </w:pPr>
      <w:r>
        <w:rPr>
          <w:sz w:val="24"/>
        </w:rPr>
      </w:r>
    </w:p>
    <w:p>
      <w:pPr>
        <w:pStyle w:val="Normal"/>
        <w:rPr>
          <w:sz w:val="24"/>
        </w:rPr>
      </w:pPr>
      <w:r>
        <w:rPr>
          <w:sz w:val="24"/>
        </w:rPr>
      </w:r>
    </w:p>
    <w:p>
      <w:pPr>
        <w:pStyle w:val="Normal"/>
        <w:rPr>
          <w:b/>
          <w:bCs/>
          <w:sz w:val="24"/>
        </w:rPr>
      </w:pPr>
      <w:r>
        <w:rPr>
          <w:b/>
          <w:bCs/>
          <w:sz w:val="24"/>
        </w:rPr>
        <w:t>Background:</w:t>
      </w:r>
    </w:p>
    <w:p>
      <w:pPr>
        <w:pStyle w:val="Normal"/>
        <w:rPr>
          <w:sz w:val="24"/>
        </w:rPr>
      </w:pPr>
      <w:r>
        <w:rPr>
          <w:sz w:val="24"/>
        </w:rPr>
        <w:t xml:space="preserve">FERC’s existing USA for public utilities, natural gas companies and oil pipelines do not specifically address the proper accounting and reporting for changes in the fair value of certain investment securities, derivative instruments and hedging activities. There is no existing Uniform System of Accounts that contain specific accounts to record amounts related to items of other comprehensive income or a format to display comprehensive income in the FERC Forms 1, 1-F, 2, 2-A and 6. </w:t>
      </w:r>
    </w:p>
    <w:p>
      <w:pPr>
        <w:pStyle w:val="Normal"/>
        <w:rPr>
          <w:sz w:val="24"/>
        </w:rPr>
      </w:pPr>
      <w:r>
        <w:rPr>
          <w:sz w:val="24"/>
        </w:rPr>
      </w:r>
    </w:p>
    <w:p>
      <w:pPr>
        <w:pStyle w:val="Normal"/>
        <w:rPr>
          <w:sz w:val="24"/>
        </w:rPr>
      </w:pPr>
      <w:r>
        <w:rPr>
          <w:sz w:val="24"/>
        </w:rPr>
        <w:t>FERC views the need for information concerning fair value measurements as relevant in measuring economic effects for a growing number of transactions and events. FERC intends to follow the principles and concepts set forth in Financial Accounting Standards Board (FAS 115, 130 and 133) for FERC accounting and reporting effective with the issuance of a final rule in this proceeding.</w:t>
      </w:r>
    </w:p>
    <w:p>
      <w:pPr>
        <w:pStyle w:val="Normal"/>
        <w:rPr>
          <w:sz w:val="24"/>
        </w:rPr>
      </w:pPr>
      <w:r>
        <w:rPr>
          <w:sz w:val="24"/>
        </w:rPr>
      </w:r>
    </w:p>
    <w:p>
      <w:pPr>
        <w:pStyle w:val="Normal"/>
        <w:rPr>
          <w:b/>
          <w:bCs/>
          <w:sz w:val="24"/>
        </w:rPr>
      </w:pPr>
      <w:r>
        <w:rPr>
          <w:b/>
          <w:bCs/>
          <w:sz w:val="24"/>
        </w:rPr>
        <w:t>Details:</w:t>
      </w:r>
    </w:p>
    <w:p>
      <w:pPr>
        <w:pStyle w:val="BodyText"/>
        <w:rPr/>
      </w:pPr>
      <w:r>
        <w:rPr/>
        <w:t xml:space="preserve">The information below is intended to highlight some of the proposed changes. The Commission’s December 20 Notice should be consulted for a comprehensive discussion of the FERC’s proposal. </w:t>
      </w:r>
    </w:p>
    <w:p>
      <w:pPr>
        <w:pStyle w:val="Normal"/>
        <w:rPr>
          <w:sz w:val="24"/>
        </w:rPr>
      </w:pPr>
      <w:r>
        <w:rPr>
          <w:sz w:val="24"/>
        </w:rPr>
      </w:r>
    </w:p>
    <w:p>
      <w:pPr>
        <w:pStyle w:val="BodyText"/>
        <w:rPr>
          <w:i/>
          <w:i/>
          <w:iCs/>
        </w:rPr>
      </w:pPr>
      <w:r>
        <w:rPr>
          <w:i/>
          <w:iCs/>
        </w:rPr>
        <w:t xml:space="preserve">Proposed Accounting for Trading and Available-for-Sale Type Securities </w:t>
      </w:r>
    </w:p>
    <w:p>
      <w:pPr>
        <w:pStyle w:val="BodyText"/>
        <w:rPr/>
      </w:pPr>
      <w:r>
        <w:rPr/>
        <w:t xml:space="preserve">FERC proposes to add language to its security investment accounts for public utilities, gas companies, and oil pipelines to permit the recognition of changes in the fair value of trading and available-for-sale types of securities due to unrealized holding gains and losses. </w:t>
      </w:r>
    </w:p>
    <w:p>
      <w:pPr>
        <w:pStyle w:val="BodyText"/>
        <w:rPr/>
      </w:pPr>
      <w:r>
        <w:rPr/>
      </w:r>
    </w:p>
    <w:p>
      <w:pPr>
        <w:pStyle w:val="BodyText"/>
        <w:rPr>
          <w:i/>
          <w:i/>
          <w:iCs/>
        </w:rPr>
      </w:pPr>
      <w:r>
        <w:rPr>
          <w:i/>
          <w:iCs/>
        </w:rPr>
        <w:t xml:space="preserve">Proposed Accounting for Other Comprehensive Income </w:t>
      </w:r>
    </w:p>
    <w:p>
      <w:pPr>
        <w:pStyle w:val="BodyText"/>
        <w:rPr/>
      </w:pPr>
      <w:r>
        <w:rPr/>
        <w:t>FERC proposes to revise the USA for utilities, gas companies and oil pipelines to provide accounting for items of other comprehensive income. New Equity Account 219, Accumulated other comprehensive income, will be created for utilities and gas companies. Account 77 will be established for oil pipelines. The accounts will require supporting records be maintained by each category of other comprehensive income for reporting information in the FERC forms. The purpose of these accounts is to record the activity for items of other comprehensive income during the year. At year end, the amounts recorded in Account 219.1 will be transferred to the new equity Account 219. Account 219.1 will capture activity during the year and will not be included as part of the balance sheet schedules. Supporting information is required by each category of other comprehensive income. Reclassification adjustments can be made directly to these accounts as required.</w:t>
      </w:r>
    </w:p>
    <w:p>
      <w:pPr>
        <w:pStyle w:val="Normal"/>
        <w:rPr>
          <w:sz w:val="24"/>
        </w:rPr>
      </w:pPr>
      <w:r>
        <w:rPr>
          <w:sz w:val="24"/>
        </w:rPr>
      </w:r>
    </w:p>
    <w:p>
      <w:pPr>
        <w:pStyle w:val="Heading4"/>
        <w:ind w:hanging="0" w:start="0"/>
        <w:rPr>
          <w:sz w:val="24"/>
        </w:rPr>
      </w:pPr>
      <w:r>
        <w:rPr>
          <w:sz w:val="24"/>
        </w:rPr>
        <w:t>Proposed Accounting for Derivatives and Hedging Activities</w:t>
      </w:r>
    </w:p>
    <w:p>
      <w:pPr>
        <w:pStyle w:val="BodyText"/>
        <w:rPr/>
      </w:pPr>
      <w:r>
        <w:rPr/>
        <w:t>As part of the proposed rule, FERC proposes to revise the USA to provide accounting for derivatives and hedging activities.</w:t>
      </w:r>
    </w:p>
    <w:p>
      <w:pPr>
        <w:pStyle w:val="Normal"/>
        <w:rPr/>
      </w:pPr>
      <w:r>
        <w:rPr/>
      </w:r>
    </w:p>
    <w:p>
      <w:pPr>
        <w:pStyle w:val="Heading2"/>
        <w:ind w:hanging="0" w:start="0"/>
        <w:rPr/>
      </w:pPr>
      <w:r>
        <w:rPr/>
        <w:t>Proposed General Instructions for Fair Value and Cash Flow Hedges</w:t>
      </w:r>
    </w:p>
    <w:p>
      <w:pPr>
        <w:pStyle w:val="Heading3"/>
        <w:ind w:hanging="0" w:start="0"/>
        <w:rPr/>
      </w:pPr>
      <w:r>
        <w:rPr/>
        <w:t xml:space="preserve">FERC proposes to add a new general instruction that would require utilities, gas companies and oil pipelines to record changes in fair value of the derivative instrument designated as a cash flow hedge to other comprehensive income. The ineffective portion of the cash flow hedge will be charged to the same income or expense account that would have been used if the hedged item had been disposed of, or otherwise settled. It will be required to record changes in fair value of a derivative instrument designated as a fair value hedge in this account with a concurrent charge to a subaccount of the asset or liability that carries the item being hedged. The ineffective portion of the fair value hedge would be charged to the same income or expense account that would have been used if the hedge item had been disposed of, or otherwise settled. </w:t>
      </w:r>
    </w:p>
    <w:p>
      <w:pPr>
        <w:pStyle w:val="Normal"/>
        <w:rPr>
          <w:sz w:val="24"/>
        </w:rPr>
      </w:pPr>
      <w:r>
        <w:rPr>
          <w:sz w:val="24"/>
        </w:rPr>
      </w:r>
    </w:p>
    <w:p>
      <w:pPr>
        <w:pStyle w:val="Normal"/>
        <w:rPr>
          <w:i/>
          <w:i/>
          <w:iCs/>
          <w:sz w:val="24"/>
        </w:rPr>
      </w:pPr>
      <w:r>
        <w:rPr>
          <w:i/>
          <w:iCs/>
          <w:sz w:val="24"/>
        </w:rPr>
        <w:t>Proposed Changes to General Instruction 21. Allowances</w:t>
      </w:r>
    </w:p>
    <w:p>
      <w:pPr>
        <w:pStyle w:val="BodyText"/>
        <w:rPr/>
      </w:pPr>
      <w:r>
        <w:rPr/>
        <w:t xml:space="preserve">FERC is proposing to make technical changes to the existing general instructions concerning the accounting for hedge transactions related to exchange traded allowance future contracts. </w:t>
      </w:r>
    </w:p>
    <w:p>
      <w:pPr>
        <w:pStyle w:val="Normal"/>
        <w:rPr>
          <w:sz w:val="24"/>
        </w:rPr>
      </w:pPr>
      <w:r>
        <w:rPr>
          <w:sz w:val="24"/>
        </w:rPr>
      </w:r>
    </w:p>
    <w:p>
      <w:pPr>
        <w:pStyle w:val="Heading2"/>
        <w:ind w:hanging="0" w:start="0"/>
        <w:rPr/>
      </w:pPr>
      <w:r>
        <w:rPr/>
        <w:t>Proposed Accounting for Derivative Assets and Liabilities</w:t>
      </w:r>
    </w:p>
    <w:p>
      <w:pPr>
        <w:pStyle w:val="BodyText"/>
        <w:rPr/>
      </w:pPr>
      <w:r>
        <w:rPr/>
        <w:t>Two new asset and two new liability accounts will be established to include amounts related to the changes in the fair value of derivative instruments not designated as a cash flow or fair value hedges. Gas companies would charge Account 421, miscellaneous non-operating income, with the corresponding amount of the change in the fair value of the derivative instruments. Companies will be permitted to create current and long-term sub accounts associated with the proposed new derivative balance sheet accounts.</w:t>
      </w:r>
    </w:p>
    <w:p>
      <w:pPr>
        <w:pStyle w:val="Normal"/>
        <w:rPr>
          <w:sz w:val="24"/>
        </w:rPr>
      </w:pPr>
      <w:r>
        <w:rPr>
          <w:sz w:val="24"/>
        </w:rPr>
      </w:r>
    </w:p>
    <w:p>
      <w:pPr>
        <w:pStyle w:val="Heading2"/>
        <w:ind w:hanging="0" w:start="0"/>
        <w:rPr/>
      </w:pPr>
      <w:r>
        <w:rPr/>
        <w:t>Proposed Accounting for Fair Value and Cash Flow Hedges</w:t>
      </w:r>
    </w:p>
    <w:p>
      <w:pPr>
        <w:pStyle w:val="BodyText"/>
        <w:rPr/>
      </w:pPr>
      <w:r>
        <w:rPr/>
        <w:t>The two new asset and two new liability accounts can be established to include amounts related to the changes in fair value of derivative instruments designated as a cash flow or fair value hedges. The two new asset accounts are Account 176 and 47 and the two liability accounts are Account 245 and 66.</w:t>
      </w:r>
    </w:p>
    <w:p>
      <w:pPr>
        <w:pStyle w:val="Normal"/>
        <w:rPr>
          <w:sz w:val="24"/>
        </w:rPr>
      </w:pPr>
      <w:r>
        <w:rPr>
          <w:sz w:val="24"/>
        </w:rPr>
      </w:r>
    </w:p>
    <w:p>
      <w:pPr>
        <w:pStyle w:val="Heading2"/>
        <w:ind w:hanging="0" w:start="0"/>
        <w:rPr/>
      </w:pPr>
      <w:r>
        <w:rPr/>
        <w:t>Proposed Changes to FERC Annual Reports Forms</w:t>
      </w:r>
    </w:p>
    <w:p>
      <w:pPr>
        <w:pStyle w:val="BodyText"/>
        <w:rPr/>
      </w:pPr>
      <w:r>
        <w:rPr/>
        <w:t xml:space="preserve">The proposed accounting changes, if adopted, will require one new schedule and changes to existing balance sheet schedules in the FERC forms. </w:t>
      </w:r>
    </w:p>
    <w:p>
      <w:pPr>
        <w:pStyle w:val="Normal"/>
        <w:rPr>
          <w:sz w:val="24"/>
        </w:rPr>
      </w:pPr>
      <w:r>
        <w:rPr>
          <w:sz w:val="24"/>
        </w:rPr>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ntique Olv (W1)">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RM02-3 Summary NOPR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RM02-3 Summary NOPR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Memo</w:t>
    </w:r>
  </w:p>
  <w:p>
    <w:pPr>
      <w:pStyle w:val="Header"/>
      <w:rPr/>
    </w:pPr>
    <w:r>
      <w:rPr/>
      <w:fldChar w:fldCharType="begin"/>
    </w:r>
    <w:r>
      <w:rPr/>
      <w:instrText xml:space="preserve"> DATE \@"M/d/yyyy" </w:instrText>
    </w:r>
    <w:r>
      <w:rPr/>
      <w:fldChar w:fldCharType="separate"/>
    </w:r>
    <w:r>
      <w:rPr/>
      <w:t>9/28/2025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2">
    <w:name w:val="heading 2"/>
    <w:basedOn w:val="Normal"/>
    <w:next w:val="Normal"/>
    <w:qFormat/>
    <w:pPr>
      <w:keepNext w:val="true"/>
      <w:numPr>
        <w:ilvl w:val="1"/>
        <w:numId w:val="1"/>
      </w:numPr>
      <w:outlineLvl w:val="1"/>
    </w:pPr>
    <w:rPr>
      <w:i/>
      <w:iCs/>
      <w:sz w:val="24"/>
    </w:rPr>
  </w:style>
  <w:style w:type="paragraph" w:styleId="Heading3">
    <w:name w:val="heading 3"/>
    <w:basedOn w:val="Normal"/>
    <w:next w:val="Normal"/>
    <w:qFormat/>
    <w:pPr>
      <w:keepNext w:val="true"/>
      <w:numPr>
        <w:ilvl w:val="2"/>
        <w:numId w:val="1"/>
      </w:numPr>
      <w:outlineLvl w:val="2"/>
    </w:pPr>
    <w:rPr>
      <w:sz w:val="24"/>
    </w:rPr>
  </w:style>
  <w:style w:type="paragraph" w:styleId="Heading4">
    <w:name w:val="heading 4"/>
    <w:basedOn w:val="Normal"/>
    <w:next w:val="Normal"/>
    <w:qFormat/>
    <w:pPr>
      <w:keepNext w:val="true"/>
      <w:numPr>
        <w:ilvl w:val="3"/>
        <w:numId w:val="1"/>
      </w:numPr>
      <w:outlineLvl w:val="3"/>
    </w:pPr>
    <w:rPr>
      <w:i/>
      <w:iC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rPr>
      <w:rFonts w:ascii="Arial" w:hAnsi="Arial" w:cs="Arial"/>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Department">
    <w:name w:val="Department"/>
    <w:basedOn w:val="Normal"/>
    <w:qFormat/>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cips.ferc.gov/Q/CIPS/RULES/RM/RM02-3.000.TX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2002-01-14T16:56:00Z</dcterms:created>
  <dc:creator>Jan Butler</dc:creator>
  <dc:description/>
  <dc:language>en-CA</dc:language>
  <cp:lastModifiedBy>jbutler</cp:lastModifiedBy>
  <cp:lastPrinted>2002-01-14T16:36:00Z</cp:lastPrinted>
  <dcterms:modified xsi:type="dcterms:W3CDTF">2002-01-14T20:07:00Z</dcterms:modified>
  <cp:revision>10</cp:revision>
  <dc:subject/>
  <dc:title>DRAFT</dc:title>
</cp:coreProperties>
</file>